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黑体" w:hAnsi="黑体" w:eastAsia="黑体" w:cs="黑体"/>
          <w:spacing w:val="15"/>
          <w:sz w:val="32"/>
          <w:szCs w:val="32"/>
          <w:highlight w:val="none"/>
        </w:rPr>
      </w:pPr>
    </w:p>
    <w:p>
      <w:pPr>
        <w:spacing w:line="560" w:lineRule="exact"/>
        <w:jc w:val="center"/>
        <w:rPr>
          <w:rFonts w:ascii="方正小标宋简体" w:hAnsi="方正小标宋简体" w:eastAsia="方正小标宋简体" w:cs="方正小标宋简体"/>
          <w:spacing w:val="15"/>
          <w:sz w:val="44"/>
          <w:szCs w:val="44"/>
          <w:highlight w:val="none"/>
        </w:rPr>
      </w:pPr>
    </w:p>
    <w:p>
      <w:pPr>
        <w:spacing w:line="560" w:lineRule="exact"/>
        <w:jc w:val="center"/>
        <w:rPr>
          <w:rFonts w:ascii="方正小标宋简体" w:hAnsi="方正小标宋简体" w:eastAsia="方正小标宋简体" w:cs="方正小标宋简体"/>
          <w:bCs/>
          <w:spacing w:val="15"/>
          <w:sz w:val="44"/>
          <w:szCs w:val="44"/>
          <w:highlight w:val="none"/>
        </w:rPr>
      </w:pPr>
    </w:p>
    <w:p>
      <w:pPr>
        <w:spacing w:line="560" w:lineRule="exact"/>
        <w:jc w:val="center"/>
        <w:rPr>
          <w:rFonts w:ascii="方正小标宋简体" w:hAnsi="方正小标宋简体" w:eastAsia="方正小标宋简体" w:cs="方正小标宋简体"/>
          <w:bCs/>
          <w:spacing w:val="15"/>
          <w:sz w:val="44"/>
          <w:szCs w:val="44"/>
          <w:highlight w:val="none"/>
        </w:rPr>
      </w:pPr>
    </w:p>
    <w:p>
      <w:pPr>
        <w:spacing w:line="560" w:lineRule="exact"/>
        <w:jc w:val="center"/>
        <w:rPr>
          <w:rFonts w:ascii="方正小标宋简体" w:hAnsi="方正小标宋简体" w:eastAsia="方正小标宋简体" w:cs="方正小标宋简体"/>
          <w:bCs/>
          <w:spacing w:val="15"/>
          <w:sz w:val="44"/>
          <w:szCs w:val="44"/>
          <w:highlight w:val="none"/>
        </w:rPr>
      </w:pPr>
    </w:p>
    <w:p>
      <w:pPr>
        <w:spacing w:line="560" w:lineRule="exact"/>
        <w:jc w:val="center"/>
        <w:rPr>
          <w:rFonts w:ascii="方正小标宋简体" w:hAnsi="方正小标宋简体" w:eastAsia="方正小标宋简体" w:cs="方正小标宋简体"/>
          <w:bCs/>
          <w:spacing w:val="15"/>
          <w:sz w:val="44"/>
          <w:szCs w:val="44"/>
          <w:highlight w:val="none"/>
        </w:rPr>
      </w:pPr>
    </w:p>
    <w:p>
      <w:pPr>
        <w:spacing w:line="560" w:lineRule="exact"/>
        <w:jc w:val="center"/>
        <w:rPr>
          <w:rFonts w:ascii="方正小标宋简体" w:hAnsi="方正小标宋简体" w:eastAsia="方正小标宋简体" w:cs="方正小标宋简体"/>
          <w:bCs/>
          <w:spacing w:val="15"/>
          <w:sz w:val="44"/>
          <w:szCs w:val="44"/>
          <w:highlight w:val="none"/>
        </w:rPr>
      </w:pPr>
    </w:p>
    <w:p>
      <w:pPr>
        <w:spacing w:line="560" w:lineRule="exact"/>
        <w:jc w:val="center"/>
        <w:rPr>
          <w:rFonts w:ascii="方正小标宋简体" w:hAnsi="方正小标宋简体" w:eastAsia="方正小标宋简体" w:cs="方正小标宋简体"/>
          <w:bCs/>
          <w:spacing w:val="15"/>
          <w:sz w:val="44"/>
          <w:szCs w:val="44"/>
          <w:highlight w:val="none"/>
        </w:rPr>
      </w:pPr>
    </w:p>
    <w:p>
      <w:pPr>
        <w:spacing w:line="560" w:lineRule="exact"/>
        <w:jc w:val="center"/>
        <w:rPr>
          <w:rFonts w:ascii="方正小标宋简体" w:hAnsi="方正小标宋简体" w:eastAsia="方正小标宋简体" w:cs="方正小标宋简体"/>
          <w:bCs/>
          <w:spacing w:val="15"/>
          <w:sz w:val="44"/>
          <w:szCs w:val="44"/>
          <w:highlight w:val="none"/>
        </w:rPr>
      </w:pPr>
    </w:p>
    <w:p>
      <w:pPr>
        <w:spacing w:line="560" w:lineRule="exact"/>
        <w:jc w:val="center"/>
        <w:rPr>
          <w:rFonts w:ascii="方正小标宋简体" w:hAnsi="方正小标宋简体" w:eastAsia="方正小标宋简体" w:cs="方正小标宋简体"/>
          <w:bCs/>
          <w:spacing w:val="15"/>
          <w:sz w:val="44"/>
          <w:szCs w:val="44"/>
          <w:highlight w:val="none"/>
        </w:rPr>
      </w:pPr>
      <w:r>
        <w:rPr>
          <w:rFonts w:ascii="方正小标宋简体" w:hAnsi="方正小标宋简体" w:eastAsia="方正小标宋简体" w:cs="方正小标宋简体"/>
          <w:bCs/>
          <w:spacing w:val="15"/>
          <w:sz w:val="44"/>
          <w:szCs w:val="44"/>
          <w:highlight w:val="none"/>
        </w:rPr>
        <w:t>缙云县教育局</w:t>
      </w:r>
      <w:r>
        <w:rPr>
          <w:rFonts w:hint="eastAsia" w:ascii="方正小标宋简体" w:hAnsi="方正小标宋简体" w:eastAsia="方正小标宋简体" w:cs="方正小标宋简体"/>
          <w:bCs/>
          <w:spacing w:val="15"/>
          <w:sz w:val="44"/>
          <w:szCs w:val="44"/>
          <w:highlight w:val="none"/>
        </w:rPr>
        <w:t>2024年单位预算</w:t>
      </w:r>
    </w:p>
    <w:p>
      <w:pPr>
        <w:spacing w:line="560" w:lineRule="exact"/>
        <w:ind w:firstLine="590" w:firstLineChars="196"/>
        <w:rPr>
          <w:rStyle w:val="9"/>
          <w:color w:val="000000"/>
          <w:sz w:val="30"/>
          <w:szCs w:val="30"/>
          <w:highlight w:val="none"/>
        </w:rPr>
      </w:pPr>
    </w:p>
    <w:p>
      <w:pPr>
        <w:spacing w:line="520" w:lineRule="exact"/>
        <w:ind w:firstLine="627" w:firstLineChars="196"/>
        <w:jc w:val="center"/>
        <w:rPr>
          <w:rStyle w:val="9"/>
          <w:rFonts w:ascii="黑体" w:eastAsia="黑体"/>
          <w:b w:val="0"/>
          <w:color w:val="000000"/>
          <w:sz w:val="32"/>
          <w:szCs w:val="32"/>
          <w:highlight w:val="none"/>
        </w:rPr>
      </w:pPr>
    </w:p>
    <w:p>
      <w:pPr>
        <w:spacing w:line="520" w:lineRule="exact"/>
        <w:ind w:firstLine="627" w:firstLineChars="196"/>
        <w:jc w:val="center"/>
        <w:rPr>
          <w:rStyle w:val="9"/>
          <w:rFonts w:ascii="黑体" w:eastAsia="黑体"/>
          <w:b w:val="0"/>
          <w:color w:val="000000"/>
          <w:sz w:val="32"/>
          <w:szCs w:val="32"/>
          <w:highlight w:val="none"/>
        </w:rPr>
      </w:pPr>
    </w:p>
    <w:p>
      <w:pPr>
        <w:spacing w:line="520" w:lineRule="exact"/>
        <w:ind w:firstLine="627" w:firstLineChars="196"/>
        <w:jc w:val="center"/>
        <w:rPr>
          <w:rStyle w:val="9"/>
          <w:rFonts w:ascii="黑体" w:eastAsia="黑体"/>
          <w:b w:val="0"/>
          <w:color w:val="000000"/>
          <w:sz w:val="32"/>
          <w:szCs w:val="32"/>
          <w:highlight w:val="none"/>
        </w:rPr>
      </w:pPr>
    </w:p>
    <w:p>
      <w:pPr>
        <w:spacing w:line="520" w:lineRule="exact"/>
        <w:ind w:firstLine="627" w:firstLineChars="196"/>
        <w:jc w:val="center"/>
        <w:rPr>
          <w:rStyle w:val="9"/>
          <w:rFonts w:ascii="黑体" w:eastAsia="黑体"/>
          <w:b w:val="0"/>
          <w:color w:val="000000"/>
          <w:sz w:val="32"/>
          <w:szCs w:val="32"/>
          <w:highlight w:val="none"/>
        </w:rPr>
      </w:pPr>
    </w:p>
    <w:p>
      <w:pPr>
        <w:spacing w:line="520" w:lineRule="exact"/>
        <w:ind w:firstLine="627" w:firstLineChars="196"/>
        <w:jc w:val="center"/>
        <w:rPr>
          <w:rStyle w:val="9"/>
          <w:rFonts w:ascii="黑体" w:eastAsia="黑体"/>
          <w:b w:val="0"/>
          <w:color w:val="000000"/>
          <w:sz w:val="32"/>
          <w:szCs w:val="32"/>
          <w:highlight w:val="none"/>
        </w:rPr>
      </w:pPr>
    </w:p>
    <w:p>
      <w:pPr>
        <w:spacing w:line="520" w:lineRule="exact"/>
        <w:ind w:firstLine="627" w:firstLineChars="196"/>
        <w:jc w:val="center"/>
        <w:rPr>
          <w:rStyle w:val="9"/>
          <w:rFonts w:ascii="黑体" w:eastAsia="黑体"/>
          <w:b w:val="0"/>
          <w:color w:val="000000"/>
          <w:sz w:val="32"/>
          <w:szCs w:val="32"/>
          <w:highlight w:val="none"/>
        </w:rPr>
      </w:pPr>
    </w:p>
    <w:p>
      <w:pPr>
        <w:spacing w:line="520" w:lineRule="exact"/>
        <w:ind w:firstLine="627" w:firstLineChars="196"/>
        <w:jc w:val="center"/>
        <w:rPr>
          <w:rStyle w:val="9"/>
          <w:rFonts w:ascii="黑体" w:eastAsia="黑体"/>
          <w:b w:val="0"/>
          <w:color w:val="000000"/>
          <w:sz w:val="32"/>
          <w:szCs w:val="32"/>
          <w:highlight w:val="none"/>
        </w:rPr>
      </w:pPr>
    </w:p>
    <w:p>
      <w:pPr>
        <w:spacing w:line="520" w:lineRule="exact"/>
        <w:ind w:firstLine="627" w:firstLineChars="196"/>
        <w:jc w:val="center"/>
        <w:rPr>
          <w:rStyle w:val="9"/>
          <w:rFonts w:ascii="黑体" w:eastAsia="黑体"/>
          <w:b w:val="0"/>
          <w:color w:val="000000"/>
          <w:sz w:val="32"/>
          <w:szCs w:val="32"/>
          <w:highlight w:val="none"/>
        </w:rPr>
      </w:pPr>
    </w:p>
    <w:p>
      <w:pPr>
        <w:spacing w:line="520" w:lineRule="exact"/>
        <w:ind w:firstLine="627" w:firstLineChars="196"/>
        <w:jc w:val="center"/>
        <w:rPr>
          <w:rStyle w:val="9"/>
          <w:rFonts w:ascii="黑体" w:eastAsia="黑体"/>
          <w:b w:val="0"/>
          <w:color w:val="000000"/>
          <w:sz w:val="32"/>
          <w:szCs w:val="32"/>
          <w:highlight w:val="none"/>
        </w:rPr>
      </w:pPr>
    </w:p>
    <w:p>
      <w:pPr>
        <w:spacing w:line="520" w:lineRule="exact"/>
        <w:ind w:firstLine="627" w:firstLineChars="196"/>
        <w:jc w:val="center"/>
        <w:rPr>
          <w:rStyle w:val="9"/>
          <w:rFonts w:ascii="黑体" w:eastAsia="黑体"/>
          <w:b w:val="0"/>
          <w:color w:val="000000"/>
          <w:sz w:val="32"/>
          <w:szCs w:val="32"/>
          <w:highlight w:val="none"/>
        </w:rPr>
      </w:pPr>
    </w:p>
    <w:p>
      <w:pPr>
        <w:spacing w:line="520" w:lineRule="exact"/>
        <w:ind w:firstLine="627" w:firstLineChars="196"/>
        <w:jc w:val="center"/>
        <w:rPr>
          <w:rStyle w:val="9"/>
          <w:rFonts w:ascii="黑体" w:eastAsia="黑体"/>
          <w:b w:val="0"/>
          <w:color w:val="000000"/>
          <w:sz w:val="32"/>
          <w:szCs w:val="32"/>
          <w:highlight w:val="none"/>
        </w:rPr>
      </w:pPr>
    </w:p>
    <w:p>
      <w:pPr>
        <w:spacing w:line="520" w:lineRule="exact"/>
        <w:ind w:firstLine="627" w:firstLineChars="196"/>
        <w:jc w:val="center"/>
        <w:rPr>
          <w:rStyle w:val="9"/>
          <w:rFonts w:ascii="黑体" w:eastAsia="黑体"/>
          <w:b w:val="0"/>
          <w:color w:val="000000"/>
          <w:sz w:val="32"/>
          <w:szCs w:val="32"/>
          <w:highlight w:val="none"/>
        </w:rPr>
      </w:pPr>
    </w:p>
    <w:p>
      <w:pPr>
        <w:spacing w:line="520" w:lineRule="exact"/>
        <w:ind w:firstLine="627" w:firstLineChars="196"/>
        <w:jc w:val="center"/>
        <w:rPr>
          <w:rStyle w:val="9"/>
          <w:rFonts w:ascii="黑体" w:eastAsia="黑体"/>
          <w:b w:val="0"/>
          <w:color w:val="000000"/>
          <w:sz w:val="32"/>
          <w:szCs w:val="32"/>
          <w:highlight w:val="none"/>
        </w:rPr>
      </w:pPr>
    </w:p>
    <w:p>
      <w:pPr>
        <w:spacing w:line="520" w:lineRule="exact"/>
        <w:rPr>
          <w:rStyle w:val="9"/>
          <w:rFonts w:ascii="黑体" w:eastAsia="黑体"/>
          <w:b w:val="0"/>
          <w:color w:val="000000"/>
          <w:sz w:val="32"/>
          <w:szCs w:val="32"/>
          <w:highlight w:val="none"/>
        </w:rPr>
      </w:pPr>
    </w:p>
    <w:p>
      <w:pPr>
        <w:spacing w:line="520" w:lineRule="exact"/>
        <w:ind w:firstLine="627" w:firstLineChars="196"/>
        <w:jc w:val="center"/>
        <w:rPr>
          <w:rStyle w:val="9"/>
          <w:rFonts w:ascii="黑体" w:eastAsia="黑体"/>
          <w:b w:val="0"/>
          <w:color w:val="000000"/>
          <w:sz w:val="32"/>
          <w:szCs w:val="32"/>
          <w:highlight w:val="none"/>
        </w:rPr>
      </w:pPr>
      <w:r>
        <w:rPr>
          <w:rStyle w:val="9"/>
          <w:rFonts w:hint="eastAsia" w:ascii="黑体" w:eastAsia="黑体"/>
          <w:b w:val="0"/>
          <w:color w:val="000000"/>
          <w:sz w:val="32"/>
          <w:szCs w:val="32"/>
          <w:highlight w:val="none"/>
        </w:rPr>
        <w:t>目录</w:t>
      </w:r>
    </w:p>
    <w:p>
      <w:pPr>
        <w:spacing w:line="520" w:lineRule="exact"/>
        <w:rPr>
          <w:rFonts w:eastAsia="黑体"/>
          <w:sz w:val="32"/>
          <w:highlight w:val="none"/>
        </w:rPr>
      </w:pPr>
      <w:r>
        <w:rPr>
          <w:rFonts w:hint="eastAsia" w:ascii="黑体" w:eastAsia="黑体"/>
          <w:color w:val="000000"/>
          <w:sz w:val="32"/>
          <w:highlight w:val="none"/>
        </w:rPr>
        <w:t>一、单位</w:t>
      </w:r>
      <w:r>
        <w:rPr>
          <w:rStyle w:val="9"/>
          <w:rFonts w:hint="eastAsia" w:ascii="黑体" w:eastAsia="黑体"/>
          <w:b w:val="0"/>
          <w:color w:val="000000"/>
          <w:sz w:val="32"/>
          <w:szCs w:val="32"/>
          <w:highlight w:val="none"/>
        </w:rPr>
        <w:t>概况</w:t>
      </w:r>
    </w:p>
    <w:p>
      <w:pPr>
        <w:autoSpaceDE w:val="0"/>
        <w:autoSpaceDN w:val="0"/>
        <w:adjustRightInd w:val="0"/>
        <w:ind w:left="420" w:leftChars="200"/>
        <w:jc w:val="left"/>
        <w:rPr>
          <w:rFonts w:ascii="楷体_GB2312" w:hAnsi="楷体_GB2312" w:eastAsia="楷体_GB2312" w:cs="楷体_GB2312"/>
          <w:bCs/>
          <w:sz w:val="32"/>
          <w:szCs w:val="32"/>
          <w:highlight w:val="none"/>
        </w:rPr>
      </w:pPr>
      <w:r>
        <w:rPr>
          <w:rFonts w:hint="eastAsia" w:ascii="楷体_GB2312" w:hAnsi="楷体_GB2312" w:eastAsia="楷体_GB2312" w:cs="楷体_GB2312"/>
          <w:bCs/>
          <w:sz w:val="32"/>
          <w:szCs w:val="32"/>
          <w:highlight w:val="none"/>
        </w:rPr>
        <w:t>（一）主要职能</w:t>
      </w:r>
    </w:p>
    <w:p>
      <w:pPr>
        <w:autoSpaceDE w:val="0"/>
        <w:autoSpaceDN w:val="0"/>
        <w:adjustRightInd w:val="0"/>
        <w:ind w:left="420" w:leftChars="200"/>
        <w:jc w:val="left"/>
        <w:rPr>
          <w:rFonts w:ascii="楷体_GB2312" w:hAnsi="楷体_GB2312" w:eastAsia="楷体_GB2312" w:cs="楷体_GB2312"/>
          <w:bCs/>
          <w:sz w:val="32"/>
          <w:szCs w:val="32"/>
          <w:highlight w:val="none"/>
        </w:rPr>
      </w:pPr>
      <w:r>
        <w:rPr>
          <w:rFonts w:hint="eastAsia" w:ascii="楷体_GB2312" w:hAnsi="楷体_GB2312" w:eastAsia="楷体_GB2312" w:cs="楷体_GB2312"/>
          <w:bCs/>
          <w:sz w:val="32"/>
          <w:szCs w:val="32"/>
          <w:highlight w:val="none"/>
        </w:rPr>
        <w:t>（二）单位机构设置情况</w:t>
      </w:r>
    </w:p>
    <w:p>
      <w:pPr>
        <w:spacing w:line="520" w:lineRule="exact"/>
        <w:rPr>
          <w:rStyle w:val="9"/>
          <w:rFonts w:ascii="黑体" w:eastAsia="黑体"/>
          <w:b w:val="0"/>
          <w:color w:val="000000"/>
          <w:sz w:val="32"/>
          <w:szCs w:val="32"/>
          <w:highlight w:val="none"/>
        </w:rPr>
      </w:pPr>
      <w:r>
        <w:rPr>
          <w:rStyle w:val="9"/>
          <w:rFonts w:hint="eastAsia" w:ascii="黑体" w:eastAsia="黑体"/>
          <w:b w:val="0"/>
          <w:color w:val="000000"/>
          <w:sz w:val="32"/>
          <w:szCs w:val="32"/>
          <w:highlight w:val="none"/>
        </w:rPr>
        <w:t>二、2024年缙云县教育局单位预算安排情况说明</w:t>
      </w:r>
    </w:p>
    <w:p>
      <w:pPr>
        <w:autoSpaceDE w:val="0"/>
        <w:autoSpaceDN w:val="0"/>
        <w:adjustRightInd w:val="0"/>
        <w:ind w:left="420" w:leftChars="200"/>
        <w:jc w:val="left"/>
        <w:rPr>
          <w:rFonts w:ascii="楷体_GB2312" w:hAnsi="楷体_GB2312" w:eastAsia="楷体_GB2312" w:cs="楷体_GB2312"/>
          <w:bCs/>
          <w:sz w:val="32"/>
          <w:szCs w:val="32"/>
          <w:highlight w:val="none"/>
        </w:rPr>
      </w:pPr>
      <w:r>
        <w:rPr>
          <w:rFonts w:hint="eastAsia" w:ascii="楷体_GB2312" w:hAnsi="楷体_GB2312" w:eastAsia="楷体_GB2312" w:cs="楷体_GB2312"/>
          <w:bCs/>
          <w:sz w:val="32"/>
          <w:szCs w:val="32"/>
          <w:highlight w:val="none"/>
        </w:rPr>
        <w:t>（一）关于缙云县教育局2024年收支预算情况的总体说明</w:t>
      </w:r>
    </w:p>
    <w:p>
      <w:pPr>
        <w:autoSpaceDE w:val="0"/>
        <w:autoSpaceDN w:val="0"/>
        <w:adjustRightInd w:val="0"/>
        <w:ind w:left="420" w:leftChars="200"/>
        <w:jc w:val="left"/>
        <w:rPr>
          <w:rFonts w:ascii="楷体_GB2312" w:hAnsi="楷体_GB2312" w:eastAsia="楷体_GB2312" w:cs="楷体_GB2312"/>
          <w:bCs/>
          <w:sz w:val="32"/>
          <w:szCs w:val="32"/>
          <w:highlight w:val="none"/>
        </w:rPr>
      </w:pPr>
      <w:r>
        <w:rPr>
          <w:rFonts w:hint="eastAsia" w:ascii="楷体_GB2312" w:hAnsi="楷体_GB2312" w:eastAsia="楷体_GB2312" w:cs="楷体_GB2312"/>
          <w:bCs/>
          <w:sz w:val="32"/>
          <w:szCs w:val="32"/>
          <w:highlight w:val="none"/>
        </w:rPr>
        <w:t>（二）关于缙云县教育局2024年收入预算情况说明</w:t>
      </w:r>
    </w:p>
    <w:p>
      <w:pPr>
        <w:autoSpaceDE w:val="0"/>
        <w:autoSpaceDN w:val="0"/>
        <w:adjustRightInd w:val="0"/>
        <w:ind w:left="420" w:leftChars="200"/>
        <w:jc w:val="left"/>
        <w:rPr>
          <w:rFonts w:ascii="楷体_GB2312" w:hAnsi="楷体_GB2312" w:eastAsia="楷体_GB2312" w:cs="楷体_GB2312"/>
          <w:bCs/>
          <w:sz w:val="32"/>
          <w:szCs w:val="32"/>
          <w:highlight w:val="none"/>
        </w:rPr>
      </w:pPr>
      <w:r>
        <w:rPr>
          <w:rFonts w:hint="eastAsia" w:ascii="楷体_GB2312" w:hAnsi="楷体_GB2312" w:eastAsia="楷体_GB2312" w:cs="楷体_GB2312"/>
          <w:bCs/>
          <w:sz w:val="32"/>
          <w:szCs w:val="32"/>
          <w:highlight w:val="none"/>
        </w:rPr>
        <w:t>（三）关于缙云县教育局2024年支出预算情况说明</w:t>
      </w:r>
      <w:r>
        <w:rPr>
          <w:rFonts w:hint="eastAsia" w:ascii="楷体_GB2312" w:hAnsi="楷体_GB2312" w:eastAsia="楷体_GB2312" w:cs="楷体_GB2312"/>
          <w:bCs/>
          <w:sz w:val="32"/>
          <w:szCs w:val="32"/>
          <w:highlight w:val="none"/>
        </w:rPr>
        <w:br w:type="textWrapping"/>
      </w:r>
      <w:r>
        <w:rPr>
          <w:rFonts w:hint="eastAsia" w:ascii="楷体_GB2312" w:hAnsi="楷体_GB2312" w:eastAsia="楷体_GB2312" w:cs="楷体_GB2312"/>
          <w:bCs/>
          <w:sz w:val="32"/>
          <w:szCs w:val="32"/>
          <w:highlight w:val="none"/>
        </w:rPr>
        <w:t>（四）关于缙云县教育局2024年财政拨款收支预算情况的总体说明</w:t>
      </w:r>
    </w:p>
    <w:p>
      <w:pPr>
        <w:autoSpaceDE w:val="0"/>
        <w:autoSpaceDN w:val="0"/>
        <w:adjustRightInd w:val="0"/>
        <w:ind w:left="420" w:leftChars="200"/>
        <w:jc w:val="left"/>
        <w:rPr>
          <w:rFonts w:ascii="楷体_GB2312" w:hAnsi="楷体_GB2312" w:eastAsia="楷体_GB2312" w:cs="楷体_GB2312"/>
          <w:bCs/>
          <w:sz w:val="32"/>
          <w:szCs w:val="32"/>
          <w:highlight w:val="none"/>
        </w:rPr>
      </w:pPr>
      <w:r>
        <w:rPr>
          <w:rFonts w:hint="eastAsia" w:ascii="楷体_GB2312" w:hAnsi="楷体_GB2312" w:eastAsia="楷体_GB2312" w:cs="楷体_GB2312"/>
          <w:bCs/>
          <w:sz w:val="32"/>
          <w:szCs w:val="32"/>
          <w:highlight w:val="none"/>
        </w:rPr>
        <w:t>（五）关于缙云县教育局2024年一般公共预算拨款情况说明</w:t>
      </w:r>
    </w:p>
    <w:p>
      <w:pPr>
        <w:autoSpaceDE w:val="0"/>
        <w:autoSpaceDN w:val="0"/>
        <w:adjustRightInd w:val="0"/>
        <w:ind w:left="420" w:leftChars="200"/>
        <w:jc w:val="left"/>
        <w:rPr>
          <w:rFonts w:ascii="楷体_GB2312" w:hAnsi="楷体_GB2312" w:eastAsia="楷体_GB2312" w:cs="楷体_GB2312"/>
          <w:bCs/>
          <w:sz w:val="32"/>
          <w:szCs w:val="32"/>
          <w:highlight w:val="none"/>
        </w:rPr>
      </w:pPr>
      <w:r>
        <w:rPr>
          <w:rFonts w:hint="eastAsia" w:ascii="楷体_GB2312" w:hAnsi="楷体_GB2312" w:eastAsia="楷体_GB2312" w:cs="楷体_GB2312"/>
          <w:bCs/>
          <w:sz w:val="32"/>
          <w:szCs w:val="32"/>
          <w:highlight w:val="none"/>
        </w:rPr>
        <w:t>（六）关于缙云县教育局2024年一般公共预算基本支出情况说明</w:t>
      </w:r>
    </w:p>
    <w:p>
      <w:pPr>
        <w:autoSpaceDE w:val="0"/>
        <w:autoSpaceDN w:val="0"/>
        <w:adjustRightInd w:val="0"/>
        <w:ind w:left="420" w:leftChars="200"/>
        <w:jc w:val="left"/>
        <w:rPr>
          <w:rFonts w:ascii="楷体_GB2312" w:hAnsi="楷体_GB2312" w:eastAsia="楷体_GB2312" w:cs="楷体_GB2312"/>
          <w:bCs/>
          <w:sz w:val="32"/>
          <w:szCs w:val="32"/>
          <w:highlight w:val="none"/>
        </w:rPr>
      </w:pPr>
      <w:r>
        <w:rPr>
          <w:rFonts w:hint="eastAsia" w:ascii="楷体_GB2312" w:hAnsi="楷体_GB2312" w:eastAsia="楷体_GB2312" w:cs="楷体_GB2312"/>
          <w:bCs/>
          <w:sz w:val="32"/>
          <w:szCs w:val="32"/>
          <w:highlight w:val="none"/>
        </w:rPr>
        <w:t>（七）关于缙云县教育局2024年政府性基金预算支出情况说明</w:t>
      </w:r>
    </w:p>
    <w:p>
      <w:pPr>
        <w:autoSpaceDE w:val="0"/>
        <w:autoSpaceDN w:val="0"/>
        <w:adjustRightInd w:val="0"/>
        <w:ind w:left="420" w:leftChars="200"/>
        <w:jc w:val="left"/>
        <w:rPr>
          <w:rFonts w:ascii="楷体_GB2312" w:hAnsi="楷体_GB2312" w:eastAsia="楷体_GB2312" w:cs="楷体_GB2312"/>
          <w:bCs/>
          <w:sz w:val="32"/>
          <w:szCs w:val="32"/>
          <w:highlight w:val="none"/>
        </w:rPr>
      </w:pPr>
      <w:r>
        <w:rPr>
          <w:rFonts w:hint="eastAsia" w:ascii="楷体_GB2312" w:hAnsi="楷体_GB2312" w:eastAsia="楷体_GB2312" w:cs="楷体_GB2312"/>
          <w:bCs/>
          <w:sz w:val="32"/>
          <w:szCs w:val="32"/>
          <w:highlight w:val="none"/>
        </w:rPr>
        <w:t>（八）关于缙云县教育局2024年国有资本经营预算支出情况说明</w:t>
      </w:r>
    </w:p>
    <w:p>
      <w:pPr>
        <w:autoSpaceDE w:val="0"/>
        <w:autoSpaceDN w:val="0"/>
        <w:adjustRightInd w:val="0"/>
        <w:ind w:left="420" w:leftChars="200"/>
        <w:jc w:val="left"/>
        <w:rPr>
          <w:rFonts w:ascii="楷体_GB2312" w:hAnsi="楷体_GB2312" w:eastAsia="楷体_GB2312" w:cs="楷体_GB2312"/>
          <w:bCs/>
          <w:sz w:val="32"/>
          <w:szCs w:val="32"/>
          <w:highlight w:val="none"/>
        </w:rPr>
      </w:pPr>
      <w:r>
        <w:rPr>
          <w:rFonts w:hint="eastAsia" w:ascii="楷体_GB2312" w:hAnsi="楷体_GB2312" w:eastAsia="楷体_GB2312" w:cs="楷体_GB2312"/>
          <w:bCs/>
          <w:sz w:val="32"/>
          <w:szCs w:val="32"/>
          <w:highlight w:val="none"/>
        </w:rPr>
        <w:t>（九）关于缙云县教育局2024年一般公共预算“三公”经费预算情况说明</w:t>
      </w:r>
    </w:p>
    <w:p>
      <w:pPr>
        <w:autoSpaceDE w:val="0"/>
        <w:autoSpaceDN w:val="0"/>
        <w:adjustRightInd w:val="0"/>
        <w:ind w:left="420" w:leftChars="200"/>
        <w:jc w:val="left"/>
        <w:rPr>
          <w:rFonts w:ascii="楷体_GB2312" w:hAnsi="楷体_GB2312" w:eastAsia="楷体_GB2312" w:cs="楷体_GB2312"/>
          <w:bCs/>
          <w:sz w:val="32"/>
          <w:szCs w:val="32"/>
          <w:highlight w:val="none"/>
        </w:rPr>
      </w:pPr>
      <w:r>
        <w:rPr>
          <w:rFonts w:hint="eastAsia" w:ascii="楷体_GB2312" w:hAnsi="楷体_GB2312" w:eastAsia="楷体_GB2312" w:cs="楷体_GB2312"/>
          <w:bCs/>
          <w:sz w:val="32"/>
          <w:szCs w:val="32"/>
          <w:highlight w:val="none"/>
        </w:rPr>
        <w:t>（十）其他重要事项的情况说明</w:t>
      </w:r>
    </w:p>
    <w:p>
      <w:pPr>
        <w:pStyle w:val="14"/>
        <w:spacing w:line="520" w:lineRule="exact"/>
        <w:rPr>
          <w:rStyle w:val="9"/>
          <w:rFonts w:ascii="黑体" w:hAnsi="Calibri" w:eastAsia="黑体"/>
          <w:b w:val="0"/>
          <w:color w:val="000000"/>
          <w:kern w:val="2"/>
          <w:sz w:val="32"/>
          <w:szCs w:val="32"/>
          <w:highlight w:val="none"/>
        </w:rPr>
      </w:pPr>
      <w:r>
        <w:rPr>
          <w:rStyle w:val="9"/>
          <w:rFonts w:hint="eastAsia" w:ascii="黑体" w:hAnsi="Calibri" w:eastAsia="黑体"/>
          <w:b w:val="0"/>
          <w:color w:val="000000"/>
          <w:kern w:val="2"/>
          <w:sz w:val="32"/>
          <w:szCs w:val="32"/>
          <w:highlight w:val="none"/>
        </w:rPr>
        <w:t>三、名词解释</w:t>
      </w:r>
    </w:p>
    <w:p>
      <w:pPr>
        <w:spacing w:line="520" w:lineRule="exact"/>
        <w:rPr>
          <w:rStyle w:val="9"/>
          <w:rFonts w:ascii="黑体" w:eastAsia="黑体"/>
          <w:b w:val="0"/>
          <w:color w:val="000000"/>
          <w:sz w:val="32"/>
          <w:szCs w:val="32"/>
          <w:highlight w:val="none"/>
        </w:rPr>
      </w:pPr>
      <w:r>
        <w:rPr>
          <w:rStyle w:val="9"/>
          <w:rFonts w:hint="eastAsia" w:ascii="黑体" w:eastAsia="黑体"/>
          <w:b w:val="0"/>
          <w:color w:val="000000"/>
          <w:sz w:val="32"/>
          <w:szCs w:val="32"/>
          <w:highlight w:val="none"/>
        </w:rPr>
        <w:t>四、2024年缙云县教育局单位预算表</w:t>
      </w:r>
    </w:p>
    <w:p>
      <w:pPr>
        <w:autoSpaceDE w:val="0"/>
        <w:autoSpaceDN w:val="0"/>
        <w:adjustRightInd w:val="0"/>
        <w:ind w:left="420" w:leftChars="200"/>
        <w:jc w:val="left"/>
        <w:rPr>
          <w:rFonts w:ascii="楷体_GB2312" w:hAnsi="楷体_GB2312" w:eastAsia="楷体_GB2312" w:cs="楷体_GB2312"/>
          <w:bCs/>
          <w:sz w:val="32"/>
          <w:szCs w:val="32"/>
          <w:highlight w:val="none"/>
        </w:rPr>
      </w:pPr>
      <w:r>
        <w:rPr>
          <w:rFonts w:hint="eastAsia" w:ascii="楷体_GB2312" w:hAnsi="楷体_GB2312" w:eastAsia="楷体_GB2312" w:cs="楷体_GB2312"/>
          <w:bCs/>
          <w:sz w:val="32"/>
          <w:szCs w:val="32"/>
          <w:highlight w:val="none"/>
        </w:rPr>
        <w:t>（一）2024年单位收支预算总表</w:t>
      </w:r>
    </w:p>
    <w:p>
      <w:pPr>
        <w:autoSpaceDE w:val="0"/>
        <w:autoSpaceDN w:val="0"/>
        <w:adjustRightInd w:val="0"/>
        <w:ind w:left="420" w:leftChars="200"/>
        <w:jc w:val="left"/>
        <w:rPr>
          <w:rFonts w:ascii="楷体_GB2312" w:hAnsi="楷体_GB2312" w:eastAsia="楷体_GB2312" w:cs="楷体_GB2312"/>
          <w:bCs/>
          <w:sz w:val="32"/>
          <w:szCs w:val="32"/>
          <w:highlight w:val="none"/>
        </w:rPr>
      </w:pPr>
      <w:r>
        <w:rPr>
          <w:rFonts w:hint="eastAsia" w:ascii="楷体_GB2312" w:hAnsi="楷体_GB2312" w:eastAsia="楷体_GB2312" w:cs="楷体_GB2312"/>
          <w:bCs/>
          <w:sz w:val="32"/>
          <w:szCs w:val="32"/>
          <w:highlight w:val="none"/>
        </w:rPr>
        <w:t>（二）2024年单位收入预算总表</w:t>
      </w:r>
    </w:p>
    <w:p>
      <w:pPr>
        <w:autoSpaceDE w:val="0"/>
        <w:autoSpaceDN w:val="0"/>
        <w:adjustRightInd w:val="0"/>
        <w:ind w:left="420" w:leftChars="200"/>
        <w:jc w:val="left"/>
        <w:rPr>
          <w:rFonts w:ascii="楷体_GB2312" w:hAnsi="楷体_GB2312" w:eastAsia="楷体_GB2312" w:cs="楷体_GB2312"/>
          <w:bCs/>
          <w:sz w:val="32"/>
          <w:szCs w:val="32"/>
          <w:highlight w:val="none"/>
        </w:rPr>
      </w:pPr>
      <w:r>
        <w:rPr>
          <w:rFonts w:hint="eastAsia" w:ascii="楷体_GB2312" w:hAnsi="楷体_GB2312" w:eastAsia="楷体_GB2312" w:cs="楷体_GB2312"/>
          <w:bCs/>
          <w:sz w:val="32"/>
          <w:szCs w:val="32"/>
          <w:highlight w:val="none"/>
        </w:rPr>
        <w:t>（三）2024年单位支出预算总表</w:t>
      </w:r>
    </w:p>
    <w:p>
      <w:pPr>
        <w:autoSpaceDE w:val="0"/>
        <w:autoSpaceDN w:val="0"/>
        <w:adjustRightInd w:val="0"/>
        <w:ind w:left="420" w:leftChars="200"/>
        <w:jc w:val="left"/>
        <w:rPr>
          <w:rFonts w:ascii="楷体_GB2312" w:hAnsi="楷体_GB2312" w:eastAsia="楷体_GB2312" w:cs="楷体_GB2312"/>
          <w:bCs/>
          <w:sz w:val="32"/>
          <w:szCs w:val="32"/>
          <w:highlight w:val="none"/>
        </w:rPr>
      </w:pPr>
      <w:r>
        <w:rPr>
          <w:rFonts w:hint="eastAsia" w:ascii="楷体_GB2312" w:hAnsi="楷体_GB2312" w:eastAsia="楷体_GB2312" w:cs="楷体_GB2312"/>
          <w:bCs/>
          <w:sz w:val="32"/>
          <w:szCs w:val="32"/>
          <w:highlight w:val="none"/>
        </w:rPr>
        <w:t>（四）2024年单位财政拨款收支预算总表</w:t>
      </w:r>
    </w:p>
    <w:p>
      <w:pPr>
        <w:autoSpaceDE w:val="0"/>
        <w:autoSpaceDN w:val="0"/>
        <w:adjustRightInd w:val="0"/>
        <w:ind w:left="420" w:leftChars="200"/>
        <w:jc w:val="left"/>
        <w:rPr>
          <w:rFonts w:ascii="楷体_GB2312" w:hAnsi="楷体_GB2312" w:eastAsia="楷体_GB2312" w:cs="楷体_GB2312"/>
          <w:bCs/>
          <w:sz w:val="32"/>
          <w:szCs w:val="32"/>
          <w:highlight w:val="none"/>
        </w:rPr>
      </w:pPr>
      <w:r>
        <w:rPr>
          <w:rFonts w:hint="eastAsia" w:ascii="楷体_GB2312" w:hAnsi="楷体_GB2312" w:eastAsia="楷体_GB2312" w:cs="楷体_GB2312"/>
          <w:bCs/>
          <w:sz w:val="32"/>
          <w:szCs w:val="32"/>
          <w:highlight w:val="none"/>
        </w:rPr>
        <w:t>（五）2024年单位一般公共预算支出表</w:t>
      </w:r>
    </w:p>
    <w:p>
      <w:pPr>
        <w:autoSpaceDE w:val="0"/>
        <w:autoSpaceDN w:val="0"/>
        <w:adjustRightInd w:val="0"/>
        <w:ind w:left="420" w:leftChars="200"/>
        <w:jc w:val="left"/>
        <w:rPr>
          <w:rFonts w:ascii="楷体_GB2312" w:hAnsi="楷体_GB2312" w:eastAsia="楷体_GB2312" w:cs="楷体_GB2312"/>
          <w:bCs/>
          <w:sz w:val="32"/>
          <w:szCs w:val="32"/>
          <w:highlight w:val="none"/>
        </w:rPr>
      </w:pPr>
      <w:r>
        <w:rPr>
          <w:rFonts w:hint="eastAsia" w:ascii="楷体_GB2312" w:hAnsi="楷体_GB2312" w:eastAsia="楷体_GB2312" w:cs="楷体_GB2312"/>
          <w:bCs/>
          <w:sz w:val="32"/>
          <w:szCs w:val="32"/>
          <w:highlight w:val="none"/>
        </w:rPr>
        <w:t>（六）2024年单位一般公共预算基本支出表</w:t>
      </w:r>
    </w:p>
    <w:p>
      <w:pPr>
        <w:autoSpaceDE w:val="0"/>
        <w:autoSpaceDN w:val="0"/>
        <w:adjustRightInd w:val="0"/>
        <w:ind w:left="420" w:leftChars="200"/>
        <w:jc w:val="left"/>
        <w:rPr>
          <w:rFonts w:ascii="楷体_GB2312" w:hAnsi="楷体_GB2312" w:eastAsia="楷体_GB2312" w:cs="楷体_GB2312"/>
          <w:bCs/>
          <w:sz w:val="32"/>
          <w:szCs w:val="32"/>
          <w:highlight w:val="none"/>
        </w:rPr>
      </w:pPr>
      <w:r>
        <w:rPr>
          <w:rFonts w:hint="eastAsia" w:ascii="楷体_GB2312" w:hAnsi="楷体_GB2312" w:eastAsia="楷体_GB2312" w:cs="楷体_GB2312"/>
          <w:bCs/>
          <w:sz w:val="32"/>
          <w:szCs w:val="32"/>
          <w:highlight w:val="none"/>
        </w:rPr>
        <w:t>（七）2024年单位一般公共预算“三公”经费支出表</w:t>
      </w:r>
    </w:p>
    <w:p>
      <w:pPr>
        <w:autoSpaceDE w:val="0"/>
        <w:autoSpaceDN w:val="0"/>
        <w:adjustRightInd w:val="0"/>
        <w:ind w:left="420" w:leftChars="200"/>
        <w:jc w:val="left"/>
        <w:rPr>
          <w:rFonts w:ascii="楷体_GB2312" w:hAnsi="楷体_GB2312" w:eastAsia="楷体_GB2312" w:cs="楷体_GB2312"/>
          <w:bCs/>
          <w:sz w:val="32"/>
          <w:szCs w:val="32"/>
          <w:highlight w:val="none"/>
        </w:rPr>
      </w:pPr>
      <w:r>
        <w:rPr>
          <w:rFonts w:hint="eastAsia" w:ascii="楷体_GB2312" w:hAnsi="楷体_GB2312" w:eastAsia="楷体_GB2312" w:cs="楷体_GB2312"/>
          <w:bCs/>
          <w:sz w:val="32"/>
          <w:szCs w:val="32"/>
          <w:highlight w:val="none"/>
        </w:rPr>
        <w:t>（八）2024年单位政府性基金预算支出表</w:t>
      </w:r>
    </w:p>
    <w:p>
      <w:pPr>
        <w:autoSpaceDE w:val="0"/>
        <w:autoSpaceDN w:val="0"/>
        <w:adjustRightInd w:val="0"/>
        <w:ind w:left="420" w:leftChars="200"/>
        <w:jc w:val="left"/>
        <w:rPr>
          <w:rFonts w:ascii="楷体_GB2312" w:hAnsi="楷体_GB2312" w:eastAsia="楷体_GB2312" w:cs="楷体_GB2312"/>
          <w:bCs/>
          <w:sz w:val="32"/>
          <w:szCs w:val="32"/>
          <w:highlight w:val="none"/>
        </w:rPr>
      </w:pPr>
      <w:r>
        <w:rPr>
          <w:rFonts w:hint="eastAsia" w:ascii="楷体_GB2312" w:hAnsi="楷体_GB2312" w:eastAsia="楷体_GB2312" w:cs="楷体_GB2312"/>
          <w:bCs/>
          <w:sz w:val="32"/>
          <w:szCs w:val="32"/>
          <w:highlight w:val="none"/>
        </w:rPr>
        <w:t>（九）2024年单位国有资本经营预算支出表</w:t>
      </w:r>
    </w:p>
    <w:p>
      <w:pPr>
        <w:autoSpaceDE w:val="0"/>
        <w:autoSpaceDN w:val="0"/>
        <w:adjustRightInd w:val="0"/>
        <w:ind w:left="420" w:leftChars="200"/>
        <w:jc w:val="left"/>
        <w:rPr>
          <w:rFonts w:ascii="楷体_GB2312" w:hAnsi="楷体_GB2312" w:eastAsia="楷体_GB2312" w:cs="楷体_GB2312"/>
          <w:bCs/>
          <w:sz w:val="32"/>
          <w:szCs w:val="32"/>
          <w:highlight w:val="none"/>
        </w:rPr>
      </w:pPr>
      <w:r>
        <w:rPr>
          <w:rFonts w:hint="eastAsia" w:ascii="楷体_GB2312" w:hAnsi="楷体_GB2312" w:eastAsia="楷体_GB2312" w:cs="楷体_GB2312"/>
          <w:bCs/>
          <w:sz w:val="32"/>
          <w:szCs w:val="32"/>
          <w:highlight w:val="none"/>
        </w:rPr>
        <w:t>（十）2024年单位项目支出预算表</w:t>
      </w:r>
    </w:p>
    <w:p>
      <w:pPr>
        <w:autoSpaceDE w:val="0"/>
        <w:autoSpaceDN w:val="0"/>
        <w:adjustRightInd w:val="0"/>
        <w:ind w:left="420" w:leftChars="200"/>
        <w:jc w:val="left"/>
        <w:rPr>
          <w:rStyle w:val="9"/>
          <w:rFonts w:ascii="楷体_GB2312" w:hAnsi="楷体_GB2312" w:eastAsia="楷体_GB2312" w:cs="楷体_GB2312"/>
          <w:b w:val="0"/>
          <w:sz w:val="32"/>
          <w:szCs w:val="32"/>
          <w:highlight w:val="none"/>
        </w:rPr>
      </w:pPr>
      <w:r>
        <w:rPr>
          <w:rFonts w:hint="eastAsia" w:ascii="楷体_GB2312" w:hAnsi="楷体_GB2312" w:eastAsia="楷体_GB2312" w:cs="楷体_GB2312"/>
          <w:bCs/>
          <w:sz w:val="32"/>
          <w:szCs w:val="32"/>
          <w:highlight w:val="none"/>
        </w:rPr>
        <w:t>（十一）2024年单位项目支出绩效表</w:t>
      </w:r>
    </w:p>
    <w:p>
      <w:pPr>
        <w:pStyle w:val="2"/>
        <w:rPr>
          <w:rStyle w:val="9"/>
          <w:rFonts w:hint="default" w:ascii="黑体" w:eastAsia="黑体"/>
          <w:b w:val="0"/>
          <w:sz w:val="32"/>
          <w:szCs w:val="32"/>
          <w:highlight w:val="none"/>
        </w:rPr>
      </w:pPr>
    </w:p>
    <w:p>
      <w:pPr>
        <w:pStyle w:val="2"/>
        <w:rPr>
          <w:rStyle w:val="9"/>
          <w:rFonts w:hint="default" w:ascii="黑体" w:eastAsia="黑体"/>
          <w:b w:val="0"/>
          <w:sz w:val="32"/>
          <w:szCs w:val="32"/>
          <w:highlight w:val="none"/>
        </w:rPr>
      </w:pPr>
    </w:p>
    <w:p>
      <w:pPr>
        <w:pStyle w:val="2"/>
        <w:rPr>
          <w:rStyle w:val="9"/>
          <w:rFonts w:hint="default" w:ascii="黑体" w:eastAsia="黑体"/>
          <w:b w:val="0"/>
          <w:sz w:val="32"/>
          <w:szCs w:val="32"/>
          <w:highlight w:val="none"/>
        </w:rPr>
      </w:pPr>
    </w:p>
    <w:p>
      <w:pPr>
        <w:pStyle w:val="2"/>
        <w:rPr>
          <w:rStyle w:val="9"/>
          <w:rFonts w:hint="default" w:ascii="黑体" w:eastAsia="黑体"/>
          <w:b w:val="0"/>
          <w:sz w:val="32"/>
          <w:szCs w:val="32"/>
          <w:highlight w:val="none"/>
        </w:rPr>
      </w:pPr>
    </w:p>
    <w:p>
      <w:pPr>
        <w:pStyle w:val="2"/>
        <w:rPr>
          <w:rStyle w:val="9"/>
          <w:rFonts w:hint="default" w:ascii="黑体" w:eastAsia="黑体"/>
          <w:b w:val="0"/>
          <w:sz w:val="32"/>
          <w:szCs w:val="32"/>
          <w:highlight w:val="none"/>
        </w:rPr>
      </w:pPr>
    </w:p>
    <w:p>
      <w:pPr>
        <w:pStyle w:val="2"/>
        <w:rPr>
          <w:rStyle w:val="9"/>
          <w:rFonts w:hint="default" w:ascii="黑体" w:eastAsia="黑体"/>
          <w:b w:val="0"/>
          <w:sz w:val="32"/>
          <w:szCs w:val="32"/>
          <w:highlight w:val="none"/>
        </w:rPr>
      </w:pPr>
    </w:p>
    <w:p>
      <w:pPr>
        <w:pStyle w:val="2"/>
        <w:rPr>
          <w:rStyle w:val="9"/>
          <w:rFonts w:hint="default" w:ascii="黑体" w:eastAsia="黑体"/>
          <w:b w:val="0"/>
          <w:sz w:val="32"/>
          <w:szCs w:val="32"/>
          <w:highlight w:val="none"/>
        </w:rPr>
      </w:pPr>
    </w:p>
    <w:p>
      <w:pPr>
        <w:pStyle w:val="2"/>
        <w:rPr>
          <w:rStyle w:val="9"/>
          <w:rFonts w:hint="default" w:ascii="黑体" w:eastAsia="黑体"/>
          <w:b w:val="0"/>
          <w:sz w:val="32"/>
          <w:szCs w:val="32"/>
          <w:highlight w:val="none"/>
        </w:rPr>
      </w:pPr>
    </w:p>
    <w:p>
      <w:pPr>
        <w:pStyle w:val="2"/>
        <w:rPr>
          <w:rStyle w:val="9"/>
          <w:rFonts w:hint="default" w:ascii="黑体" w:eastAsia="黑体"/>
          <w:b w:val="0"/>
          <w:sz w:val="32"/>
          <w:szCs w:val="32"/>
          <w:highlight w:val="none"/>
        </w:rPr>
      </w:pPr>
    </w:p>
    <w:p>
      <w:pPr>
        <w:pStyle w:val="2"/>
        <w:rPr>
          <w:rStyle w:val="9"/>
          <w:rFonts w:hint="default" w:ascii="黑体" w:eastAsia="黑体"/>
          <w:b w:val="0"/>
          <w:sz w:val="32"/>
          <w:szCs w:val="32"/>
          <w:highlight w:val="none"/>
        </w:rPr>
      </w:pPr>
    </w:p>
    <w:p>
      <w:pPr>
        <w:pStyle w:val="2"/>
        <w:tabs>
          <w:tab w:val="left" w:pos="2608"/>
        </w:tabs>
        <w:rPr>
          <w:rStyle w:val="9"/>
          <w:rFonts w:hint="default" w:ascii="黑体" w:eastAsia="黑体"/>
          <w:b w:val="0"/>
          <w:sz w:val="32"/>
          <w:szCs w:val="32"/>
          <w:highlight w:val="none"/>
        </w:rPr>
      </w:pPr>
      <w:r>
        <w:rPr>
          <w:rStyle w:val="9"/>
          <w:rFonts w:ascii="黑体" w:eastAsia="黑体"/>
          <w:b w:val="0"/>
          <w:sz w:val="32"/>
          <w:szCs w:val="32"/>
          <w:highlight w:val="none"/>
        </w:rPr>
        <w:tab/>
      </w:r>
    </w:p>
    <w:p>
      <w:pPr>
        <w:spacing w:line="520" w:lineRule="exact"/>
        <w:ind w:firstLine="627" w:firstLineChars="196"/>
        <w:rPr>
          <w:rStyle w:val="9"/>
          <w:rFonts w:ascii="黑体" w:eastAsia="黑体"/>
          <w:b w:val="0"/>
          <w:color w:val="000000"/>
          <w:sz w:val="32"/>
          <w:szCs w:val="32"/>
          <w:highlight w:val="none"/>
        </w:rPr>
      </w:pPr>
      <w:r>
        <w:rPr>
          <w:rStyle w:val="9"/>
          <w:rFonts w:hint="eastAsia" w:ascii="黑体" w:eastAsia="黑体"/>
          <w:b w:val="0"/>
          <w:color w:val="000000"/>
          <w:sz w:val="32"/>
          <w:szCs w:val="32"/>
          <w:highlight w:val="none"/>
        </w:rPr>
        <w:t>一、单位概况</w:t>
      </w:r>
    </w:p>
    <w:p>
      <w:pPr>
        <w:spacing w:line="520" w:lineRule="exact"/>
        <w:ind w:firstLine="627" w:firstLineChars="196"/>
        <w:rPr>
          <w:rFonts w:ascii="楷体_GB2312" w:hAnsi="楷体_GB2312" w:eastAsia="楷体_GB2312" w:cs="楷体_GB2312"/>
          <w:bCs/>
          <w:sz w:val="32"/>
          <w:szCs w:val="32"/>
          <w:highlight w:val="none"/>
        </w:rPr>
      </w:pPr>
      <w:r>
        <w:rPr>
          <w:rFonts w:hint="eastAsia" w:ascii="楷体_GB2312" w:hAnsi="楷体_GB2312" w:eastAsia="楷体_GB2312" w:cs="楷体_GB2312"/>
          <w:bCs/>
          <w:sz w:val="32"/>
          <w:szCs w:val="32"/>
          <w:highlight w:val="none"/>
        </w:rPr>
        <w:t>（一）主要职能</w:t>
      </w:r>
    </w:p>
    <w:p>
      <w:pPr>
        <w:pStyle w:val="2"/>
        <w:ind w:firstLine="640" w:firstLineChars="200"/>
        <w:rPr>
          <w:rFonts w:hint="eastAsia" w:ascii="仿宋_GB2312" w:eastAsia="仿宋_GB2312"/>
          <w:bCs/>
          <w:sz w:val="32"/>
          <w:szCs w:val="32"/>
          <w:highlight w:val="none"/>
        </w:rPr>
      </w:pPr>
      <w:r>
        <w:rPr>
          <w:rFonts w:hint="eastAsia" w:ascii="仿宋_GB2312" w:eastAsia="仿宋_GB2312"/>
          <w:bCs/>
          <w:sz w:val="32"/>
          <w:szCs w:val="32"/>
          <w:highlight w:val="none"/>
        </w:rPr>
        <w:t>根据《中共缙云县委办公室缙云县人民政府办公室关于印发&lt;</w:t>
      </w:r>
      <w:r>
        <w:rPr>
          <w:rFonts w:hint="eastAsia"/>
          <w:bCs/>
          <w:sz w:val="32"/>
          <w:szCs w:val="32"/>
          <w:highlight w:val="none"/>
          <w:lang w:eastAsia="zh-CN"/>
        </w:rPr>
        <w:t>缙云县教育局（本级）</w:t>
      </w:r>
      <w:r>
        <w:rPr>
          <w:rFonts w:hint="eastAsia" w:ascii="仿宋_GB2312" w:eastAsia="仿宋_GB2312"/>
          <w:bCs/>
          <w:sz w:val="32"/>
          <w:szCs w:val="32"/>
          <w:highlight w:val="none"/>
        </w:rPr>
        <w:t>职能配置、内设机构和人员编制规定&gt;的通知》（缙委办发〔2019〕14号）文件，我局的主要职责为：</w:t>
      </w:r>
    </w:p>
    <w:p>
      <w:pPr>
        <w:pStyle w:val="2"/>
        <w:rPr>
          <w:rFonts w:hint="eastAsia" w:ascii="仿宋_GB2312" w:eastAsia="仿宋_GB2312"/>
          <w:bCs/>
          <w:sz w:val="32"/>
          <w:szCs w:val="32"/>
          <w:highlight w:val="none"/>
        </w:rPr>
      </w:pPr>
      <w:r>
        <w:rPr>
          <w:rFonts w:hint="eastAsia" w:ascii="仿宋_GB2312" w:eastAsia="仿宋_GB2312"/>
          <w:bCs/>
          <w:sz w:val="32"/>
          <w:szCs w:val="32"/>
          <w:highlight w:val="none"/>
        </w:rPr>
        <w:t xml:space="preserve">    1.贯彻执行党和国家的教育方针、政策和法律、法规，推进教育系统法制建设。</w:t>
      </w:r>
    </w:p>
    <w:p>
      <w:pPr>
        <w:pStyle w:val="2"/>
        <w:rPr>
          <w:rFonts w:hint="eastAsia" w:ascii="仿宋_GB2312" w:eastAsia="仿宋_GB2312"/>
          <w:bCs/>
          <w:sz w:val="32"/>
          <w:szCs w:val="32"/>
          <w:highlight w:val="none"/>
        </w:rPr>
      </w:pPr>
      <w:r>
        <w:rPr>
          <w:rFonts w:hint="eastAsia" w:ascii="仿宋_GB2312" w:eastAsia="仿宋_GB2312"/>
          <w:bCs/>
          <w:sz w:val="32"/>
          <w:szCs w:val="32"/>
          <w:highlight w:val="none"/>
        </w:rPr>
        <w:t xml:space="preserve">    2.负责全县教育的统筹规划，承担教育改革与发展重大问题调研、政策研究，拟订全县教育改革和发展政策并组织实施，负责全县教育基本信息的统计、分析和发布。</w:t>
      </w:r>
    </w:p>
    <w:p>
      <w:pPr>
        <w:pStyle w:val="2"/>
        <w:rPr>
          <w:rFonts w:hint="eastAsia" w:ascii="仿宋_GB2312" w:eastAsia="仿宋_GB2312"/>
          <w:bCs/>
          <w:sz w:val="32"/>
          <w:szCs w:val="32"/>
          <w:highlight w:val="none"/>
        </w:rPr>
      </w:pPr>
      <w:r>
        <w:rPr>
          <w:rFonts w:hint="eastAsia" w:ascii="仿宋_GB2312" w:eastAsia="仿宋_GB2312"/>
          <w:bCs/>
          <w:sz w:val="32"/>
          <w:szCs w:val="32"/>
          <w:highlight w:val="none"/>
        </w:rPr>
        <w:t xml:space="preserve">    3.指导、督促和检查全县学校党的政治建设、思想建设、组织建设、廉政建设等工作以及全县教育系统履行全面从严治党主体责任，配合县委统战部做好统战工作。</w:t>
      </w:r>
    </w:p>
    <w:p>
      <w:pPr>
        <w:pStyle w:val="2"/>
        <w:rPr>
          <w:rFonts w:hint="eastAsia" w:ascii="仿宋_GB2312" w:eastAsia="仿宋_GB2312"/>
          <w:bCs/>
          <w:sz w:val="32"/>
          <w:szCs w:val="32"/>
          <w:highlight w:val="none"/>
        </w:rPr>
      </w:pPr>
      <w:r>
        <w:rPr>
          <w:rFonts w:hint="eastAsia" w:ascii="仿宋_GB2312" w:eastAsia="仿宋_GB2312"/>
          <w:bCs/>
          <w:sz w:val="32"/>
          <w:szCs w:val="32"/>
          <w:highlight w:val="none"/>
        </w:rPr>
        <w:t xml:space="preserve">    4.指导全县教育系统安全稳定工作，负责教育系统安全监督管理，督促教育系统相关主体落实安全生产责任，组织或配合查处学校安全管理方面的失职或违法行为。</w:t>
      </w:r>
    </w:p>
    <w:p>
      <w:pPr>
        <w:pStyle w:val="2"/>
        <w:rPr>
          <w:rFonts w:hint="eastAsia" w:ascii="仿宋_GB2312" w:eastAsia="仿宋_GB2312"/>
          <w:bCs/>
          <w:sz w:val="32"/>
          <w:szCs w:val="32"/>
          <w:highlight w:val="none"/>
        </w:rPr>
      </w:pPr>
      <w:r>
        <w:rPr>
          <w:rFonts w:hint="eastAsia" w:ascii="仿宋_GB2312" w:eastAsia="仿宋_GB2312"/>
          <w:bCs/>
          <w:sz w:val="32"/>
          <w:szCs w:val="32"/>
          <w:highlight w:val="none"/>
        </w:rPr>
        <w:t xml:space="preserve">    5.统筹管理本单位教育经费，参与拟订教育经费筹措、教育拨款、教育基建投资的政策并监督使用情况。指导教育系统内部审计、基本建设、后勤管理工作。</w:t>
      </w:r>
    </w:p>
    <w:p>
      <w:pPr>
        <w:pStyle w:val="2"/>
        <w:rPr>
          <w:rFonts w:hint="eastAsia" w:ascii="仿宋_GB2312" w:eastAsia="仿宋_GB2312"/>
          <w:bCs/>
          <w:sz w:val="32"/>
          <w:szCs w:val="32"/>
          <w:highlight w:val="none"/>
        </w:rPr>
      </w:pPr>
      <w:r>
        <w:rPr>
          <w:rFonts w:hint="eastAsia" w:ascii="仿宋_GB2312" w:eastAsia="仿宋_GB2312"/>
          <w:bCs/>
          <w:sz w:val="32"/>
          <w:szCs w:val="32"/>
          <w:highlight w:val="none"/>
        </w:rPr>
        <w:t xml:space="preserve">    6.负责推进基础教育高质量均衡发展，促进教育公平。指导学校思想政治、德育、体育卫生与艺术教育、劳动教育和国防教育工作。制定基础教育教学基本要求和教学基本文件，全面实施素质教育。负责全县学籍管理工作。</w:t>
      </w:r>
    </w:p>
    <w:p>
      <w:pPr>
        <w:pStyle w:val="2"/>
        <w:rPr>
          <w:rFonts w:hint="eastAsia" w:ascii="仿宋_GB2312" w:eastAsia="仿宋_GB2312"/>
          <w:bCs/>
          <w:sz w:val="32"/>
          <w:szCs w:val="32"/>
          <w:highlight w:val="none"/>
        </w:rPr>
      </w:pPr>
      <w:r>
        <w:rPr>
          <w:rFonts w:hint="eastAsia" w:ascii="仿宋_GB2312" w:eastAsia="仿宋_GB2312"/>
          <w:bCs/>
          <w:sz w:val="32"/>
          <w:szCs w:val="32"/>
          <w:highlight w:val="none"/>
        </w:rPr>
        <w:t xml:space="preserve">    7.统筹管理和指导职业教育、成人教育、社区教育，指导职业学校教育教学改革、职业指导和评估工作。统筹继续教育体系建设。</w:t>
      </w:r>
    </w:p>
    <w:p>
      <w:pPr>
        <w:pStyle w:val="2"/>
        <w:ind w:firstLine="640" w:firstLineChars="200"/>
        <w:rPr>
          <w:rFonts w:hint="eastAsia" w:ascii="仿宋_GB2312" w:eastAsia="仿宋_GB2312"/>
          <w:bCs/>
          <w:sz w:val="32"/>
          <w:szCs w:val="32"/>
          <w:highlight w:val="none"/>
        </w:rPr>
      </w:pPr>
      <w:r>
        <w:rPr>
          <w:rFonts w:hint="eastAsia" w:ascii="仿宋_GB2312" w:eastAsia="仿宋_GB2312"/>
          <w:bCs/>
          <w:sz w:val="32"/>
          <w:szCs w:val="32"/>
          <w:highlight w:val="none"/>
        </w:rPr>
        <w:t>8.负责全县教育人才队伍建设。指导全县师德师风建设。组织指导实施教师资格制度，组织实施并指导全县教师培训工作。参与学校编制、岗位、工资等政策制定。指导学校国际交流合作与外事工作。</w:t>
      </w:r>
    </w:p>
    <w:p>
      <w:pPr>
        <w:pStyle w:val="2"/>
        <w:rPr>
          <w:rFonts w:hint="eastAsia" w:ascii="仿宋_GB2312" w:eastAsia="仿宋_GB2312"/>
          <w:bCs/>
          <w:sz w:val="32"/>
          <w:szCs w:val="32"/>
          <w:highlight w:val="none"/>
        </w:rPr>
      </w:pPr>
      <w:r>
        <w:rPr>
          <w:rFonts w:hint="eastAsia" w:ascii="仿宋_GB2312" w:eastAsia="仿宋_GB2312"/>
          <w:bCs/>
          <w:sz w:val="32"/>
          <w:szCs w:val="32"/>
          <w:highlight w:val="none"/>
        </w:rPr>
        <w:t xml:space="preserve">    9.负责全县语言文字工作，指导语言文字规范化建设。</w:t>
      </w:r>
    </w:p>
    <w:p>
      <w:pPr>
        <w:pStyle w:val="2"/>
        <w:rPr>
          <w:rFonts w:hint="eastAsia" w:ascii="仿宋_GB2312" w:eastAsia="仿宋_GB2312"/>
          <w:bCs/>
          <w:sz w:val="32"/>
          <w:szCs w:val="32"/>
          <w:highlight w:val="none"/>
        </w:rPr>
      </w:pPr>
      <w:r>
        <w:rPr>
          <w:rFonts w:hint="eastAsia" w:ascii="仿宋_GB2312" w:eastAsia="仿宋_GB2312"/>
          <w:bCs/>
          <w:sz w:val="32"/>
          <w:szCs w:val="32"/>
          <w:highlight w:val="none"/>
        </w:rPr>
        <w:t xml:space="preserve">    10.指导全县教育督导工作，依法组织实施教育督导评估、检查验收、质量监测等工作。</w:t>
      </w:r>
    </w:p>
    <w:p>
      <w:pPr>
        <w:pStyle w:val="2"/>
        <w:rPr>
          <w:rFonts w:hint="eastAsia" w:ascii="仿宋_GB2312" w:eastAsia="仿宋_GB2312"/>
          <w:bCs/>
          <w:sz w:val="32"/>
          <w:szCs w:val="32"/>
          <w:highlight w:val="none"/>
        </w:rPr>
      </w:pPr>
      <w:r>
        <w:rPr>
          <w:rFonts w:hint="eastAsia" w:ascii="仿宋_GB2312" w:eastAsia="仿宋_GB2312"/>
          <w:bCs/>
          <w:sz w:val="32"/>
          <w:szCs w:val="32"/>
          <w:highlight w:val="none"/>
        </w:rPr>
        <w:t xml:space="preserve">    11.完成县委、县政府交办的其他任务。</w:t>
      </w:r>
    </w:p>
    <w:p>
      <w:pPr>
        <w:pStyle w:val="2"/>
        <w:rPr>
          <w:rFonts w:hint="eastAsia" w:eastAsia="仿宋_GB2312"/>
          <w:highlight w:val="none"/>
          <w:lang w:eastAsia="zh-CN"/>
        </w:rPr>
      </w:pPr>
      <w:r>
        <w:rPr>
          <w:rFonts w:hint="eastAsia" w:ascii="仿宋_GB2312" w:eastAsia="仿宋_GB2312"/>
          <w:bCs/>
          <w:sz w:val="32"/>
          <w:szCs w:val="32"/>
          <w:highlight w:val="none"/>
        </w:rPr>
        <w:t xml:space="preserve">    12.职能转变。贯彻落实党中央、省、市、县关于加强学校党建工作和县委关于建设“清廉缙云”的总体要求，履行对学校党建工作的指导和监督职责，指导督促全县教育系统履行全面从严治党主体责任，提升党建工作水平。深入推进全县教育领域“最多跑一次”改革，进一步推进教育数据资源共享，进一步推进减事项、减材料、减环节，坚持以群众视角设计教育改革方案，明确改革目标，提升教育服务质量和便利化水平。加强对学校教材的使用管理，坚持社会主义办学方向，保证教材的思想性、科学性、时代性。强化民办教育的统筹规划、综合协调和管理，不断提升教育质量，促进教育公平，推动教育事业科学发展,确保党的教育方针和政策贯彻执行到位。</w:t>
      </w:r>
    </w:p>
    <w:p>
      <w:pPr>
        <w:spacing w:line="520" w:lineRule="exact"/>
        <w:ind w:firstLine="627" w:firstLineChars="196"/>
        <w:rPr>
          <w:rFonts w:ascii="楷体_GB2312" w:hAnsi="楷体_GB2312" w:eastAsia="楷体_GB2312" w:cs="楷体_GB2312"/>
          <w:bCs/>
          <w:sz w:val="32"/>
          <w:szCs w:val="32"/>
          <w:highlight w:val="none"/>
        </w:rPr>
      </w:pPr>
      <w:r>
        <w:rPr>
          <w:rFonts w:hint="eastAsia" w:ascii="楷体_GB2312" w:hAnsi="楷体_GB2312" w:eastAsia="楷体_GB2312" w:cs="楷体_GB2312"/>
          <w:bCs/>
          <w:sz w:val="32"/>
          <w:szCs w:val="32"/>
          <w:highlight w:val="none"/>
        </w:rPr>
        <w:t>（二）单位机构设置情况</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ascii="仿宋_GB2312" w:eastAsia="仿宋_GB2312"/>
          <w:bCs/>
          <w:sz w:val="32"/>
          <w:szCs w:val="32"/>
          <w:highlight w:val="none"/>
        </w:rPr>
      </w:pPr>
      <w:r>
        <w:rPr>
          <w:rFonts w:hint="eastAsia" w:ascii="仿宋_GB2312" w:eastAsia="仿宋_GB2312"/>
          <w:bCs/>
          <w:sz w:val="32"/>
          <w:szCs w:val="32"/>
          <w:highlight w:val="none"/>
        </w:rPr>
        <w:t>从预算单位构成看，缙云县教育局</w:t>
      </w:r>
      <w:r>
        <w:rPr>
          <w:rFonts w:hint="eastAsia" w:ascii="仿宋_GB2312" w:eastAsia="仿宋_GB2312"/>
          <w:bCs/>
          <w:sz w:val="32"/>
          <w:szCs w:val="32"/>
          <w:highlight w:val="none"/>
          <w:lang w:eastAsia="zh-CN"/>
        </w:rPr>
        <w:t>预算包括</w:t>
      </w:r>
      <w:r>
        <w:rPr>
          <w:rFonts w:hint="eastAsia" w:ascii="仿宋_GB2312" w:eastAsia="仿宋_GB2312"/>
          <w:bCs/>
          <w:sz w:val="32"/>
          <w:szCs w:val="32"/>
          <w:highlight w:val="none"/>
        </w:rPr>
        <w:t>：办公室、人事科、计划财务科、教育科、监审安全科、机关党委、考试中心、技术中心、督导中心、会计核算中心、基建与资产中心、工会服务中心</w:t>
      </w:r>
      <w:r>
        <w:rPr>
          <w:rFonts w:hint="eastAsia" w:ascii="仿宋_GB2312" w:eastAsia="仿宋_GB2312"/>
          <w:bCs/>
          <w:sz w:val="32"/>
          <w:szCs w:val="32"/>
          <w:highlight w:val="none"/>
          <w:lang w:eastAsia="zh-CN"/>
        </w:rPr>
        <w:t>预算</w:t>
      </w:r>
      <w:r>
        <w:rPr>
          <w:rFonts w:hint="eastAsia" w:ascii="仿宋_GB2312" w:eastAsia="仿宋_GB2312"/>
          <w:bCs/>
          <w:sz w:val="32"/>
          <w:szCs w:val="32"/>
          <w:highlight w:val="none"/>
        </w:rPr>
        <w:t>。</w:t>
      </w:r>
    </w:p>
    <w:p>
      <w:pPr>
        <w:spacing w:line="520" w:lineRule="exact"/>
        <w:ind w:firstLine="640" w:firstLineChars="200"/>
        <w:rPr>
          <w:rFonts w:ascii="楷体_GB2312" w:hAnsi="楷体_GB2312" w:eastAsia="楷体_GB2312" w:cs="楷体_GB2312"/>
          <w:color w:val="000000"/>
          <w:sz w:val="32"/>
          <w:szCs w:val="32"/>
          <w:highlight w:val="none"/>
        </w:rPr>
      </w:pPr>
      <w:r>
        <w:rPr>
          <w:rStyle w:val="9"/>
          <w:rFonts w:hint="eastAsia" w:ascii="黑体" w:eastAsia="黑体"/>
          <w:b w:val="0"/>
          <w:color w:val="000000"/>
          <w:sz w:val="32"/>
          <w:szCs w:val="32"/>
          <w:highlight w:val="none"/>
        </w:rPr>
        <w:t>二、2024年缙云县教育局单位预算安排情况说明</w:t>
      </w:r>
      <w:r>
        <w:rPr>
          <w:rFonts w:hint="eastAsia"/>
          <w:color w:val="000000"/>
          <w:sz w:val="32"/>
          <w:szCs w:val="32"/>
          <w:highlight w:val="none"/>
        </w:rPr>
        <w:br w:type="textWrapping"/>
      </w:r>
      <w:r>
        <w:rPr>
          <w:rFonts w:hint="eastAsia" w:ascii="仿宋_GB2312" w:eastAsia="仿宋_GB2312"/>
          <w:b/>
          <w:bCs/>
          <w:color w:val="000000"/>
          <w:sz w:val="32"/>
          <w:szCs w:val="32"/>
          <w:highlight w:val="none"/>
        </w:rPr>
        <w:t>　　</w:t>
      </w:r>
      <w:r>
        <w:rPr>
          <w:rFonts w:hint="eastAsia" w:ascii="楷体_GB2312" w:hAnsi="楷体_GB2312" w:eastAsia="楷体_GB2312" w:cs="楷体_GB2312"/>
          <w:color w:val="000000"/>
          <w:sz w:val="32"/>
          <w:szCs w:val="32"/>
          <w:highlight w:val="none"/>
        </w:rPr>
        <w:t>（一）关于缙云县教育局</w:t>
      </w:r>
      <w:r>
        <w:rPr>
          <w:rStyle w:val="9"/>
          <w:rFonts w:hint="eastAsia" w:ascii="楷体_GB2312" w:hAnsi="楷体_GB2312" w:eastAsia="楷体_GB2312" w:cs="楷体_GB2312"/>
          <w:b w:val="0"/>
          <w:bCs w:val="0"/>
          <w:color w:val="000000"/>
          <w:sz w:val="32"/>
          <w:szCs w:val="32"/>
          <w:highlight w:val="none"/>
        </w:rPr>
        <w:t>2024年收支预算情况的总体说明</w:t>
      </w:r>
    </w:p>
    <w:p>
      <w:pPr>
        <w:spacing w:line="520" w:lineRule="exact"/>
        <w:rPr>
          <w:rFonts w:ascii="楷体_GB2312" w:hAnsi="楷体_GB2312" w:eastAsia="楷体_GB2312" w:cs="楷体_GB2312"/>
          <w:b/>
          <w:color w:val="000000"/>
          <w:sz w:val="32"/>
          <w:szCs w:val="32"/>
          <w:highlight w:val="none"/>
        </w:rPr>
      </w:pPr>
      <w:r>
        <w:rPr>
          <w:rFonts w:hint="eastAsia" w:ascii="仿宋_GB2312" w:eastAsia="仿宋_GB2312"/>
          <w:bCs/>
          <w:color w:val="000000"/>
          <w:sz w:val="32"/>
          <w:szCs w:val="32"/>
          <w:highlight w:val="none"/>
        </w:rPr>
        <w:t xml:space="preserve">    按照</w:t>
      </w:r>
      <w:r>
        <w:rPr>
          <w:rFonts w:hint="eastAsia" w:ascii="仿宋_GB2312" w:eastAsia="仿宋_GB2312"/>
          <w:bCs/>
          <w:sz w:val="32"/>
          <w:szCs w:val="32"/>
          <w:highlight w:val="none"/>
        </w:rPr>
        <w:t>综合预算的原则，缙云县教育局</w:t>
      </w:r>
      <w:r>
        <w:rPr>
          <w:rFonts w:hint="eastAsia" w:ascii="仿宋_GB2312" w:eastAsia="仿宋_GB2312"/>
          <w:color w:val="000000"/>
          <w:sz w:val="32"/>
          <w:szCs w:val="32"/>
          <w:highlight w:val="none"/>
        </w:rPr>
        <w:t>所有收入和支出均纳入部门预算管理。收入包括：一般公共预算拨款收入、政府性基金预算收入、财政专户管理资金收入；支出包括：教育支出、社会保障和就业支出、卫生健康支出、城乡社区支出、住房保障支出。缙云县教育局2024年收支总预算35338.57万元。</w:t>
      </w:r>
    </w:p>
    <w:p>
      <w:pPr>
        <w:spacing w:line="520" w:lineRule="exact"/>
        <w:ind w:firstLine="642"/>
        <w:rPr>
          <w:rFonts w:ascii="楷体_GB2312" w:hAnsi="楷体_GB2312" w:eastAsia="楷体_GB2312" w:cs="楷体_GB2312"/>
          <w:bCs/>
          <w:color w:val="000000"/>
          <w:sz w:val="32"/>
          <w:szCs w:val="32"/>
          <w:highlight w:val="none"/>
        </w:rPr>
      </w:pPr>
      <w:r>
        <w:rPr>
          <w:rFonts w:hint="eastAsia" w:ascii="楷体_GB2312" w:hAnsi="楷体_GB2312" w:eastAsia="楷体_GB2312" w:cs="楷体_GB2312"/>
          <w:bCs/>
          <w:color w:val="000000"/>
          <w:sz w:val="32"/>
          <w:szCs w:val="32"/>
          <w:highlight w:val="none"/>
        </w:rPr>
        <w:t>（二）关于缙云县教育局2024年收入预算情况说明</w:t>
      </w:r>
    </w:p>
    <w:p>
      <w:pPr>
        <w:spacing w:line="520" w:lineRule="exact"/>
        <w:ind w:firstLine="642"/>
        <w:rPr>
          <w:rFonts w:ascii="仿宋_GB2312" w:eastAsia="仿宋_GB2312"/>
          <w:color w:val="000000"/>
          <w:sz w:val="32"/>
          <w:szCs w:val="32"/>
          <w:highlight w:val="none"/>
        </w:rPr>
      </w:pPr>
      <w:r>
        <w:rPr>
          <w:rFonts w:hint="eastAsia" w:ascii="仿宋_GB2312" w:hAnsi="仿宋_GB2312" w:eastAsia="仿宋_GB2312" w:cs="仿宋_GB2312"/>
          <w:color w:val="000000"/>
          <w:sz w:val="32"/>
          <w:szCs w:val="32"/>
          <w:highlight w:val="none"/>
        </w:rPr>
        <w:t>缙云县教育局2024年收入预算35338.57万元，比上年执行数减少</w:t>
      </w:r>
      <w:r>
        <w:rPr>
          <w:rFonts w:hint="eastAsia" w:ascii="仿宋_GB2312" w:hAnsi="仿宋_GB2312" w:eastAsia="仿宋_GB2312" w:cs="仿宋_GB2312"/>
          <w:color w:val="000000"/>
          <w:sz w:val="32"/>
          <w:szCs w:val="32"/>
          <w:highlight w:val="none"/>
          <w:lang w:val="en-US" w:eastAsia="zh-CN"/>
        </w:rPr>
        <w:t>6703.65</w:t>
      </w:r>
      <w:r>
        <w:rPr>
          <w:rFonts w:hint="eastAsia" w:ascii="仿宋_GB2312" w:hAnsi="仿宋_GB2312" w:eastAsia="仿宋_GB2312" w:cs="仿宋_GB2312"/>
          <w:color w:val="000000"/>
          <w:sz w:val="32"/>
          <w:szCs w:val="32"/>
          <w:highlight w:val="none"/>
        </w:rPr>
        <w:t>万元，下</w:t>
      </w:r>
      <w:r>
        <w:rPr>
          <w:rFonts w:hint="eastAsia" w:ascii="仿宋_GB2312" w:hAnsi="仿宋_GB2312" w:eastAsia="仿宋_GB2312" w:cs="仿宋_GB2312"/>
          <w:color w:val="000000"/>
          <w:sz w:val="32"/>
          <w:highlight w:val="none"/>
        </w:rPr>
        <w:t>降</w:t>
      </w:r>
      <w:r>
        <w:rPr>
          <w:rFonts w:hint="eastAsia" w:ascii="仿宋_GB2312" w:hAnsi="仿宋_GB2312" w:eastAsia="仿宋_GB2312" w:cs="仿宋_GB2312"/>
          <w:color w:val="000000"/>
          <w:sz w:val="32"/>
          <w:highlight w:val="none"/>
          <w:lang w:val="en-US" w:eastAsia="zh-CN"/>
        </w:rPr>
        <w:t>15.95</w:t>
      </w:r>
      <w:r>
        <w:rPr>
          <w:rFonts w:hint="eastAsia" w:ascii="仿宋_GB2312" w:hAnsi="仿宋_GB2312" w:eastAsia="仿宋_GB2312" w:cs="仿宋_GB2312"/>
          <w:color w:val="000000"/>
          <w:sz w:val="32"/>
          <w:highlight w:val="none"/>
        </w:rPr>
        <w:t>%，</w:t>
      </w:r>
      <w:r>
        <w:rPr>
          <w:rFonts w:hint="eastAsia" w:ascii="仿宋_GB2312" w:hAnsi="仿宋_GB2312" w:eastAsia="仿宋_GB2312" w:cs="仿宋_GB2312"/>
          <w:color w:val="000000"/>
          <w:sz w:val="32"/>
          <w:szCs w:val="32"/>
          <w:highlight w:val="none"/>
        </w:rPr>
        <w:t>主要是</w:t>
      </w:r>
      <w:r>
        <w:rPr>
          <w:rFonts w:hint="eastAsia" w:ascii="仿宋_GB2312" w:hAnsi="仿宋_GB2312" w:eastAsia="仿宋_GB2312" w:cs="仿宋_GB2312"/>
          <w:color w:val="000000"/>
          <w:sz w:val="32"/>
          <w:szCs w:val="32"/>
          <w:highlight w:val="none"/>
          <w:lang w:eastAsia="zh-CN"/>
        </w:rPr>
        <w:t>上年有其他收入安排的项目建设资金收入，本年未列入年初预算</w:t>
      </w:r>
      <w:r>
        <w:rPr>
          <w:rFonts w:hint="eastAsia" w:ascii="仿宋_GB2312" w:hAnsi="仿宋_GB2312" w:eastAsia="仿宋_GB2312" w:cs="仿宋_GB2312"/>
          <w:color w:val="000000"/>
          <w:sz w:val="32"/>
          <w:szCs w:val="32"/>
          <w:highlight w:val="none"/>
        </w:rPr>
        <w:t>。</w:t>
      </w:r>
    </w:p>
    <w:p>
      <w:pPr>
        <w:spacing w:line="520" w:lineRule="exact"/>
        <w:ind w:firstLine="642"/>
        <w:rPr>
          <w:rFonts w:ascii="仿宋_GB2312" w:eastAsia="仿宋_GB2312"/>
          <w:color w:val="000000"/>
          <w:sz w:val="32"/>
          <w:szCs w:val="32"/>
          <w:highlight w:val="none"/>
        </w:rPr>
      </w:pPr>
      <w:r>
        <w:rPr>
          <w:rFonts w:hint="eastAsia" w:ascii="仿宋_GB2312" w:eastAsia="仿宋_GB2312"/>
          <w:color w:val="000000"/>
          <w:sz w:val="32"/>
          <w:szCs w:val="32"/>
          <w:highlight w:val="none"/>
        </w:rPr>
        <w:t>其中：一般公共预算拨款收入</w:t>
      </w:r>
      <w:r>
        <w:rPr>
          <w:rFonts w:ascii="仿宋_GB2312" w:eastAsia="仿宋_GB2312"/>
          <w:color w:val="000000"/>
          <w:sz w:val="32"/>
          <w:szCs w:val="32"/>
          <w:highlight w:val="none"/>
        </w:rPr>
        <w:t>35050.61</w:t>
      </w:r>
      <w:r>
        <w:rPr>
          <w:rFonts w:hint="eastAsia" w:ascii="仿宋_GB2312" w:eastAsia="仿宋_GB2312"/>
          <w:color w:val="000000"/>
          <w:sz w:val="32"/>
          <w:szCs w:val="32"/>
          <w:highlight w:val="none"/>
        </w:rPr>
        <w:t>万元，占99.2%；政府性基金收入</w:t>
      </w:r>
      <w:r>
        <w:rPr>
          <w:rFonts w:ascii="仿宋_GB2312" w:eastAsia="仿宋_GB2312"/>
          <w:color w:val="000000"/>
          <w:sz w:val="32"/>
          <w:szCs w:val="32"/>
          <w:highlight w:val="none"/>
        </w:rPr>
        <w:t>187.96</w:t>
      </w:r>
      <w:r>
        <w:rPr>
          <w:rFonts w:hint="eastAsia" w:ascii="仿宋_GB2312" w:eastAsia="仿宋_GB2312"/>
          <w:color w:val="000000"/>
          <w:sz w:val="32"/>
          <w:szCs w:val="32"/>
          <w:highlight w:val="none"/>
        </w:rPr>
        <w:t>万元，占0.5%；专户资金100.00万元，占0.3%。</w:t>
      </w:r>
      <w:r>
        <w:rPr>
          <w:rFonts w:hint="eastAsia" w:ascii="仿宋_GB2312" w:eastAsia="仿宋_GB2312"/>
          <w:color w:val="000000"/>
          <w:sz w:val="32"/>
          <w:szCs w:val="32"/>
          <w:highlight w:val="none"/>
        </w:rPr>
        <w:br w:type="textWrapping"/>
      </w:r>
      <w:r>
        <w:rPr>
          <w:rFonts w:hint="eastAsia" w:ascii="楷体_GB2312" w:hAnsi="楷体_GB2312" w:eastAsia="楷体_GB2312" w:cs="楷体_GB2312"/>
          <w:bCs/>
          <w:color w:val="000000"/>
          <w:sz w:val="32"/>
          <w:szCs w:val="32"/>
          <w:highlight w:val="none"/>
        </w:rPr>
        <w:t>　　（三）关于缙云县教育局2024年支出预算情况说明</w:t>
      </w:r>
      <w:r>
        <w:rPr>
          <w:rFonts w:hint="eastAsia" w:ascii="楷体_GB2312" w:hAnsi="楷体_GB2312" w:eastAsia="楷体_GB2312" w:cs="楷体_GB2312"/>
          <w:bCs/>
          <w:color w:val="000000"/>
          <w:sz w:val="32"/>
          <w:szCs w:val="32"/>
          <w:highlight w:val="none"/>
        </w:rPr>
        <w:br w:type="textWrapping"/>
      </w:r>
      <w:r>
        <w:rPr>
          <w:rFonts w:hint="eastAsia" w:ascii="仿宋_GB2312" w:eastAsia="仿宋_GB2312"/>
          <w:color w:val="000000"/>
          <w:sz w:val="32"/>
          <w:szCs w:val="32"/>
          <w:highlight w:val="none"/>
        </w:rPr>
        <w:t>　</w:t>
      </w:r>
      <w:r>
        <w:rPr>
          <w:rFonts w:hint="eastAsia" w:ascii="仿宋_GB2312" w:hAnsi="仿宋_GB2312" w:eastAsia="仿宋_GB2312" w:cs="仿宋_GB2312"/>
          <w:color w:val="000000"/>
          <w:sz w:val="32"/>
          <w:szCs w:val="32"/>
          <w:highlight w:val="none"/>
        </w:rPr>
        <w:t>　缙云县教育局2024年支出预算35338.57万元，比上年执行数减少</w:t>
      </w:r>
      <w:r>
        <w:rPr>
          <w:rFonts w:hint="eastAsia" w:ascii="仿宋_GB2312" w:hAnsi="仿宋_GB2312" w:eastAsia="仿宋_GB2312" w:cs="仿宋_GB2312"/>
          <w:color w:val="000000"/>
          <w:sz w:val="32"/>
          <w:szCs w:val="32"/>
          <w:highlight w:val="none"/>
          <w:lang w:val="en-US" w:eastAsia="zh-CN"/>
        </w:rPr>
        <w:t>6703.65</w:t>
      </w:r>
      <w:r>
        <w:rPr>
          <w:rFonts w:hint="eastAsia" w:ascii="仿宋_GB2312" w:hAnsi="仿宋_GB2312" w:eastAsia="仿宋_GB2312" w:cs="仿宋_GB2312"/>
          <w:color w:val="000000"/>
          <w:sz w:val="32"/>
          <w:szCs w:val="32"/>
          <w:highlight w:val="none"/>
        </w:rPr>
        <w:t>万元，下</w:t>
      </w:r>
      <w:r>
        <w:rPr>
          <w:rFonts w:hint="eastAsia" w:ascii="仿宋_GB2312" w:hAnsi="仿宋_GB2312" w:eastAsia="仿宋_GB2312" w:cs="仿宋_GB2312"/>
          <w:color w:val="000000"/>
          <w:sz w:val="32"/>
          <w:highlight w:val="none"/>
        </w:rPr>
        <w:t>降</w:t>
      </w:r>
      <w:r>
        <w:rPr>
          <w:rFonts w:hint="eastAsia" w:ascii="仿宋_GB2312" w:hAnsi="仿宋_GB2312" w:eastAsia="仿宋_GB2312" w:cs="仿宋_GB2312"/>
          <w:color w:val="000000"/>
          <w:sz w:val="32"/>
          <w:highlight w:val="none"/>
          <w:lang w:val="en-US" w:eastAsia="zh-CN"/>
        </w:rPr>
        <w:t>15.95</w:t>
      </w:r>
      <w:r>
        <w:rPr>
          <w:rFonts w:hint="eastAsia" w:ascii="仿宋_GB2312" w:hAnsi="仿宋_GB2312" w:eastAsia="仿宋_GB2312" w:cs="仿宋_GB2312"/>
          <w:color w:val="000000"/>
          <w:sz w:val="32"/>
          <w:highlight w:val="none"/>
        </w:rPr>
        <w:t>%，</w:t>
      </w:r>
      <w:r>
        <w:rPr>
          <w:rFonts w:hint="eastAsia" w:ascii="仿宋_GB2312" w:hAnsi="仿宋_GB2312" w:eastAsia="仿宋_GB2312" w:cs="仿宋_GB2312"/>
          <w:color w:val="000000"/>
          <w:sz w:val="32"/>
          <w:szCs w:val="32"/>
          <w:highlight w:val="none"/>
        </w:rPr>
        <w:t>主要是</w:t>
      </w:r>
      <w:r>
        <w:rPr>
          <w:rFonts w:hint="eastAsia" w:ascii="仿宋_GB2312" w:hAnsi="仿宋_GB2312" w:eastAsia="仿宋_GB2312" w:cs="仿宋_GB2312"/>
          <w:color w:val="000000"/>
          <w:sz w:val="32"/>
          <w:szCs w:val="32"/>
          <w:highlight w:val="none"/>
          <w:lang w:eastAsia="zh-CN"/>
        </w:rPr>
        <w:t>上年有其他收入安排的项目建设资金支出，本年未列入年初预算</w:t>
      </w:r>
      <w:r>
        <w:rPr>
          <w:rFonts w:hint="eastAsia" w:ascii="仿宋_GB2312" w:hAnsi="仿宋_GB2312" w:eastAsia="仿宋_GB2312" w:cs="仿宋_GB2312"/>
          <w:color w:val="000000"/>
          <w:sz w:val="32"/>
          <w:szCs w:val="32"/>
          <w:highlight w:val="none"/>
        </w:rPr>
        <w:t>。</w:t>
      </w:r>
    </w:p>
    <w:p>
      <w:pPr>
        <w:spacing w:line="520" w:lineRule="exact"/>
        <w:ind w:firstLine="630"/>
        <w:rPr>
          <w:rFonts w:ascii="仿宋_GB2312" w:eastAsia="仿宋_GB2312"/>
          <w:color w:val="000000"/>
          <w:sz w:val="32"/>
          <w:szCs w:val="32"/>
          <w:highlight w:val="none"/>
        </w:rPr>
      </w:pPr>
      <w:r>
        <w:rPr>
          <w:rFonts w:hint="eastAsia" w:ascii="仿宋_GB2312" w:eastAsia="仿宋_GB2312"/>
          <w:color w:val="000000"/>
          <w:sz w:val="32"/>
          <w:szCs w:val="32"/>
          <w:highlight w:val="none"/>
        </w:rPr>
        <w:t>1.按支出功能分类，包括教育支出34705.7</w:t>
      </w:r>
      <w:r>
        <w:rPr>
          <w:rFonts w:hint="eastAsia" w:ascii="仿宋_GB2312" w:eastAsia="仿宋_GB2312"/>
          <w:color w:val="000000"/>
          <w:sz w:val="32"/>
          <w:szCs w:val="32"/>
          <w:highlight w:val="none"/>
          <w:lang w:val="en-US" w:eastAsia="zh-CN"/>
        </w:rPr>
        <w:t>4</w:t>
      </w:r>
      <w:r>
        <w:rPr>
          <w:rFonts w:hint="eastAsia" w:ascii="仿宋_GB2312" w:eastAsia="仿宋_GB2312"/>
          <w:color w:val="000000"/>
          <w:sz w:val="32"/>
          <w:szCs w:val="32"/>
          <w:highlight w:val="none"/>
        </w:rPr>
        <w:t>万元、社会保障和就业支出160.27万元、卫生健康支出136.44万元、城乡社区支出187.96万元、住房保障支出148.16万元。</w:t>
      </w:r>
    </w:p>
    <w:p>
      <w:pPr>
        <w:spacing w:line="520" w:lineRule="exact"/>
        <w:ind w:firstLine="642"/>
        <w:rPr>
          <w:rFonts w:ascii="仿宋_GB2312" w:eastAsia="仿宋_GB2312"/>
          <w:color w:val="000000"/>
          <w:sz w:val="32"/>
          <w:szCs w:val="32"/>
          <w:highlight w:val="none"/>
        </w:rPr>
      </w:pPr>
      <w:r>
        <w:rPr>
          <w:rFonts w:hint="eastAsia" w:ascii="仿宋_GB2312" w:eastAsia="仿宋_GB2312"/>
          <w:color w:val="000000"/>
          <w:sz w:val="32"/>
          <w:szCs w:val="32"/>
          <w:highlight w:val="none"/>
        </w:rPr>
        <w:t>2.按支出用途分类，包括人员支出1740.2</w:t>
      </w:r>
      <w:r>
        <w:rPr>
          <w:rFonts w:hint="eastAsia" w:ascii="仿宋_GB2312" w:eastAsia="仿宋_GB2312"/>
          <w:color w:val="000000"/>
          <w:sz w:val="32"/>
          <w:szCs w:val="32"/>
          <w:highlight w:val="none"/>
          <w:lang w:val="en-US" w:eastAsia="zh-CN"/>
        </w:rPr>
        <w:t>2</w:t>
      </w:r>
      <w:r>
        <w:rPr>
          <w:rFonts w:hint="eastAsia" w:ascii="仿宋_GB2312" w:eastAsia="仿宋_GB2312"/>
          <w:color w:val="000000"/>
          <w:sz w:val="32"/>
          <w:szCs w:val="32"/>
          <w:highlight w:val="none"/>
        </w:rPr>
        <w:t>万元，占4.9%；日常公用支出350.98万元，占1.0%；项目支出33247.37万元，占94.1%。</w:t>
      </w:r>
    </w:p>
    <w:p>
      <w:pPr>
        <w:spacing w:line="520" w:lineRule="exact"/>
        <w:ind w:firstLine="642"/>
        <w:rPr>
          <w:rFonts w:ascii="仿宋_GB2312" w:eastAsia="仿宋_GB2312"/>
          <w:color w:val="000000"/>
          <w:sz w:val="32"/>
          <w:szCs w:val="32"/>
          <w:highlight w:val="none"/>
        </w:rPr>
      </w:pPr>
      <w:r>
        <w:rPr>
          <w:rFonts w:hint="eastAsia" w:ascii="仿宋_GB2312" w:eastAsia="仿宋_GB2312"/>
          <w:color w:val="000000"/>
          <w:sz w:val="32"/>
          <w:szCs w:val="32"/>
          <w:highlight w:val="none"/>
        </w:rPr>
        <w:t>年终结转结余0.00万元。</w:t>
      </w:r>
    </w:p>
    <w:p>
      <w:pPr>
        <w:spacing w:line="520" w:lineRule="exact"/>
        <w:ind w:firstLine="627" w:firstLineChars="196"/>
        <w:rPr>
          <w:rFonts w:ascii="楷体_GB2312" w:hAnsi="楷体_GB2312" w:eastAsia="楷体_GB2312" w:cs="楷体_GB2312"/>
          <w:bCs/>
          <w:color w:val="000000"/>
          <w:sz w:val="32"/>
          <w:szCs w:val="32"/>
          <w:highlight w:val="none"/>
        </w:rPr>
      </w:pPr>
      <w:r>
        <w:rPr>
          <w:rFonts w:hint="eastAsia" w:ascii="楷体_GB2312" w:hAnsi="楷体_GB2312" w:eastAsia="楷体_GB2312" w:cs="楷体_GB2312"/>
          <w:bCs/>
          <w:color w:val="000000"/>
          <w:sz w:val="32"/>
          <w:szCs w:val="32"/>
          <w:highlight w:val="none"/>
        </w:rPr>
        <w:t>（四）关于缙云县教育局2024年财政拨款收支预算情况的总体说明</w:t>
      </w:r>
    </w:p>
    <w:p>
      <w:pPr>
        <w:spacing w:line="520" w:lineRule="exact"/>
        <w:ind w:firstLine="640"/>
        <w:rPr>
          <w:rFonts w:ascii="仿宋_GB2312" w:eastAsia="仿宋_GB2312"/>
          <w:color w:val="000000"/>
          <w:sz w:val="32"/>
          <w:szCs w:val="32"/>
          <w:highlight w:val="none"/>
        </w:rPr>
      </w:pPr>
      <w:r>
        <w:rPr>
          <w:rFonts w:hint="eastAsia" w:ascii="仿宋_GB2312" w:eastAsia="仿宋_GB2312"/>
          <w:color w:val="000000"/>
          <w:sz w:val="32"/>
          <w:szCs w:val="32"/>
          <w:highlight w:val="none"/>
        </w:rPr>
        <w:t>缙云县教育局2024年财政拨款收支总预算35238.57万元。收入包括：一般公共预算35050.61万元、政府性基金187.96万元；支出包括：教育支出34605.7</w:t>
      </w:r>
      <w:r>
        <w:rPr>
          <w:rFonts w:hint="eastAsia" w:ascii="仿宋_GB2312" w:eastAsia="仿宋_GB2312"/>
          <w:color w:val="000000"/>
          <w:sz w:val="32"/>
          <w:szCs w:val="32"/>
          <w:highlight w:val="none"/>
          <w:lang w:val="en-US" w:eastAsia="zh-CN"/>
        </w:rPr>
        <w:t>4</w:t>
      </w:r>
      <w:r>
        <w:rPr>
          <w:rFonts w:hint="eastAsia" w:ascii="仿宋_GB2312" w:eastAsia="仿宋_GB2312"/>
          <w:color w:val="000000"/>
          <w:sz w:val="32"/>
          <w:szCs w:val="32"/>
          <w:highlight w:val="none"/>
        </w:rPr>
        <w:t>万元、社会保障和就业支出160.27万元、卫生健康支出136.44万元、城乡社区支出187.96万元、住房保障支出148.16万元。</w:t>
      </w:r>
    </w:p>
    <w:p>
      <w:pPr>
        <w:numPr>
          <w:ilvl w:val="0"/>
          <w:numId w:val="1"/>
        </w:numPr>
        <w:spacing w:line="520" w:lineRule="exact"/>
        <w:ind w:firstLine="640"/>
        <w:rPr>
          <w:rFonts w:ascii="楷体_GB2312" w:hAnsi="楷体_GB2312" w:eastAsia="楷体_GB2312" w:cs="楷体_GB2312"/>
          <w:bCs/>
          <w:color w:val="000000"/>
          <w:sz w:val="32"/>
          <w:szCs w:val="32"/>
          <w:highlight w:val="none"/>
        </w:rPr>
      </w:pPr>
      <w:r>
        <w:rPr>
          <w:rFonts w:hint="eastAsia" w:ascii="楷体_GB2312" w:hAnsi="楷体_GB2312" w:eastAsia="楷体_GB2312" w:cs="楷体_GB2312"/>
          <w:bCs/>
          <w:color w:val="000000"/>
          <w:sz w:val="32"/>
          <w:szCs w:val="32"/>
          <w:highlight w:val="none"/>
        </w:rPr>
        <w:t>关于缙云县教育局2024年一般公共预算拨款情况说明</w:t>
      </w:r>
    </w:p>
    <w:p>
      <w:pPr>
        <w:spacing w:line="520" w:lineRule="exact"/>
        <w:ind w:firstLine="642"/>
        <w:rPr>
          <w:rFonts w:ascii="仿宋_GB2312" w:hAnsi="仿宋_GB2312" w:eastAsia="仿宋_GB2312" w:cs="仿宋_GB2312"/>
          <w:b/>
          <w:color w:val="000000"/>
          <w:sz w:val="32"/>
          <w:szCs w:val="32"/>
          <w:highlight w:val="none"/>
        </w:rPr>
      </w:pPr>
      <w:r>
        <w:rPr>
          <w:rFonts w:hint="eastAsia" w:ascii="仿宋_GB2312" w:hAnsi="仿宋_GB2312" w:eastAsia="仿宋_GB2312" w:cs="仿宋_GB2312"/>
          <w:b/>
          <w:color w:val="000000"/>
          <w:sz w:val="32"/>
          <w:szCs w:val="32"/>
          <w:highlight w:val="none"/>
        </w:rPr>
        <w:t>1.一般公共预算拨款规模变化情况。</w:t>
      </w:r>
    </w:p>
    <w:p>
      <w:pPr>
        <w:spacing w:line="520" w:lineRule="exact"/>
        <w:ind w:firstLine="642"/>
        <w:rPr>
          <w:rFonts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缙云县教育局2024年一般公共预算拨款</w:t>
      </w:r>
      <w:r>
        <w:rPr>
          <w:rFonts w:hint="eastAsia" w:ascii="仿宋_GB2312" w:hAnsi="仿宋_GB2312" w:eastAsia="仿宋_GB2312" w:cs="仿宋_GB2312"/>
          <w:bCs/>
          <w:color w:val="000000"/>
          <w:sz w:val="32"/>
          <w:szCs w:val="32"/>
          <w:highlight w:val="none"/>
        </w:rPr>
        <w:t>35050.61</w:t>
      </w:r>
      <w:r>
        <w:rPr>
          <w:rFonts w:hint="eastAsia" w:ascii="仿宋_GB2312" w:hAnsi="仿宋_GB2312" w:eastAsia="仿宋_GB2312" w:cs="仿宋_GB2312"/>
          <w:color w:val="000000"/>
          <w:sz w:val="32"/>
          <w:szCs w:val="32"/>
          <w:highlight w:val="none"/>
        </w:rPr>
        <w:t>万元，比上年执行数增加</w:t>
      </w:r>
      <w:r>
        <w:rPr>
          <w:rFonts w:hint="eastAsia" w:ascii="仿宋_GB2312" w:hAnsi="仿宋_GB2312" w:eastAsia="仿宋_GB2312" w:cs="仿宋_GB2312"/>
          <w:color w:val="000000"/>
          <w:sz w:val="32"/>
          <w:szCs w:val="32"/>
          <w:highlight w:val="none"/>
          <w:lang w:val="en-US" w:eastAsia="zh-CN"/>
        </w:rPr>
        <w:t>12515.67</w:t>
      </w:r>
      <w:r>
        <w:rPr>
          <w:rFonts w:hint="eastAsia" w:ascii="仿宋_GB2312" w:hAnsi="仿宋_GB2312" w:eastAsia="仿宋_GB2312" w:cs="仿宋_GB2312"/>
          <w:color w:val="000000"/>
          <w:sz w:val="32"/>
          <w:szCs w:val="32"/>
          <w:highlight w:val="none"/>
        </w:rPr>
        <w:t>万元，</w:t>
      </w:r>
      <w:r>
        <w:rPr>
          <w:rFonts w:hint="eastAsia" w:ascii="仿宋_GB2312" w:hAnsi="仿宋_GB2312" w:eastAsia="仿宋_GB2312" w:cs="仿宋_GB2312"/>
          <w:color w:val="000000"/>
          <w:sz w:val="32"/>
          <w:highlight w:val="none"/>
        </w:rPr>
        <w:t>增长</w:t>
      </w:r>
      <w:r>
        <w:rPr>
          <w:rFonts w:hint="eastAsia" w:ascii="仿宋_GB2312" w:hAnsi="仿宋_GB2312" w:eastAsia="仿宋_GB2312" w:cs="仿宋_GB2312"/>
          <w:color w:val="000000"/>
          <w:sz w:val="32"/>
          <w:szCs w:val="32"/>
          <w:highlight w:val="none"/>
          <w:lang w:val="en-US" w:eastAsia="zh-CN"/>
        </w:rPr>
        <w:t>55.54</w:t>
      </w:r>
      <w:r>
        <w:rPr>
          <w:rFonts w:hint="eastAsia" w:ascii="仿宋_GB2312" w:hAnsi="仿宋_GB2312" w:eastAsia="仿宋_GB2312" w:cs="仿宋_GB2312"/>
          <w:color w:val="000000"/>
          <w:sz w:val="32"/>
          <w:highlight w:val="none"/>
        </w:rPr>
        <w:t>%，</w:t>
      </w:r>
      <w:r>
        <w:rPr>
          <w:rFonts w:hint="eastAsia" w:ascii="仿宋_GB2312" w:hAnsi="仿宋_GB2312" w:eastAsia="仿宋_GB2312" w:cs="仿宋_GB2312"/>
          <w:color w:val="000000"/>
          <w:sz w:val="32"/>
          <w:szCs w:val="32"/>
          <w:highlight w:val="none"/>
        </w:rPr>
        <w:t>主要是</w:t>
      </w:r>
      <w:r>
        <w:rPr>
          <w:rFonts w:hint="eastAsia" w:ascii="仿宋_GB2312" w:hAnsi="仿宋_GB2312" w:eastAsia="仿宋_GB2312" w:cs="仿宋_GB2312"/>
          <w:color w:val="000000"/>
          <w:sz w:val="32"/>
          <w:szCs w:val="32"/>
          <w:highlight w:val="none"/>
          <w:lang w:eastAsia="zh-CN"/>
        </w:rPr>
        <w:t>全教育系统项目支出一般公共预算拨款年初都列入教育局本级预算</w:t>
      </w:r>
      <w:r>
        <w:rPr>
          <w:rFonts w:hint="eastAsia" w:ascii="仿宋_GB2312" w:hAnsi="仿宋_GB2312" w:eastAsia="仿宋_GB2312" w:cs="仿宋_GB2312"/>
          <w:color w:val="000000"/>
          <w:sz w:val="32"/>
          <w:szCs w:val="32"/>
          <w:highlight w:val="none"/>
        </w:rPr>
        <w:t>。</w:t>
      </w:r>
    </w:p>
    <w:p>
      <w:pPr>
        <w:spacing w:line="520" w:lineRule="exact"/>
        <w:ind w:firstLine="642"/>
        <w:rPr>
          <w:rFonts w:ascii="仿宋_GB2312" w:hAnsi="仿宋_GB2312" w:eastAsia="仿宋_GB2312" w:cs="仿宋_GB2312"/>
          <w:b/>
          <w:color w:val="000000"/>
          <w:sz w:val="32"/>
          <w:szCs w:val="32"/>
          <w:highlight w:val="none"/>
        </w:rPr>
      </w:pPr>
      <w:r>
        <w:rPr>
          <w:rFonts w:hint="eastAsia" w:ascii="仿宋_GB2312" w:hAnsi="仿宋_GB2312" w:eastAsia="仿宋_GB2312" w:cs="仿宋_GB2312"/>
          <w:b/>
          <w:color w:val="000000"/>
          <w:sz w:val="32"/>
          <w:szCs w:val="32"/>
          <w:highlight w:val="none"/>
        </w:rPr>
        <w:t>2.一般公共预算拨款结构情况。</w:t>
      </w:r>
    </w:p>
    <w:p>
      <w:pPr>
        <w:spacing w:line="520" w:lineRule="exact"/>
        <w:ind w:firstLine="640" w:firstLineChars="200"/>
        <w:rPr>
          <w:rFonts w:ascii="仿宋_GB2312" w:hAnsi="仿宋_GB2312" w:eastAsia="仿宋_GB2312" w:cs="仿宋_GB2312"/>
          <w:b/>
          <w:color w:val="000000"/>
          <w:sz w:val="32"/>
          <w:szCs w:val="32"/>
          <w:highlight w:val="none"/>
        </w:rPr>
      </w:pPr>
      <w:r>
        <w:rPr>
          <w:rFonts w:hint="eastAsia" w:ascii="仿宋_GB2312" w:hAnsi="仿宋_GB2312" w:eastAsia="仿宋_GB2312" w:cs="仿宋_GB2312"/>
          <w:color w:val="000000"/>
          <w:sz w:val="32"/>
          <w:szCs w:val="32"/>
          <w:highlight w:val="none"/>
        </w:rPr>
        <w:t>教育支出34605.7</w:t>
      </w:r>
      <w:r>
        <w:rPr>
          <w:rFonts w:hint="eastAsia" w:ascii="仿宋_GB2312" w:hAnsi="仿宋_GB2312" w:eastAsia="仿宋_GB2312" w:cs="仿宋_GB2312"/>
          <w:color w:val="000000"/>
          <w:sz w:val="32"/>
          <w:szCs w:val="32"/>
          <w:highlight w:val="none"/>
          <w:lang w:val="en-US" w:eastAsia="zh-CN"/>
        </w:rPr>
        <w:t>4</w:t>
      </w:r>
      <w:r>
        <w:rPr>
          <w:rFonts w:hint="eastAsia" w:ascii="仿宋_GB2312" w:hAnsi="仿宋_GB2312" w:eastAsia="仿宋_GB2312" w:cs="仿宋_GB2312"/>
          <w:color w:val="000000"/>
          <w:sz w:val="32"/>
          <w:szCs w:val="32"/>
          <w:highlight w:val="none"/>
        </w:rPr>
        <w:t>万元，占98.7%；社会保障和就业支出160.27万元，占0.5%；卫生健康支出136.44万元，占0.4%；住房保障支出148.16万元，占0.4%。</w:t>
      </w:r>
    </w:p>
    <w:p>
      <w:pPr>
        <w:spacing w:line="520" w:lineRule="exact"/>
        <w:ind w:firstLine="642"/>
        <w:rPr>
          <w:rFonts w:ascii="仿宋_GB2312" w:hAnsi="仿宋_GB2312" w:eastAsia="仿宋_GB2312" w:cs="仿宋_GB2312"/>
          <w:b/>
          <w:color w:val="000000"/>
          <w:sz w:val="32"/>
          <w:szCs w:val="32"/>
          <w:highlight w:val="none"/>
        </w:rPr>
      </w:pPr>
      <w:r>
        <w:rPr>
          <w:rFonts w:hint="eastAsia" w:ascii="仿宋_GB2312" w:hAnsi="仿宋_GB2312" w:eastAsia="仿宋_GB2312" w:cs="仿宋_GB2312"/>
          <w:b/>
          <w:color w:val="000000"/>
          <w:sz w:val="32"/>
          <w:szCs w:val="32"/>
          <w:highlight w:val="none"/>
        </w:rPr>
        <w:t>3.一般公共预算拨款具体使用情况。</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left="0" w:leftChars="0" w:right="0" w:rightChars="0" w:firstLine="640" w:firstLineChars="200"/>
        <w:textAlignment w:val="auto"/>
        <w:outlineLvl w:val="9"/>
        <w:rPr>
          <w:rFonts w:hint="eastAsia" w:ascii="仿宋_GB2312" w:hAnsi="仿宋_GB2312" w:eastAsia="仿宋_GB2312" w:cs="仿宋_GB2312"/>
          <w:color w:val="000000"/>
          <w:sz w:val="32"/>
          <w:szCs w:val="32"/>
          <w:highlight w:val="none"/>
          <w:lang w:eastAsia="zh-CN"/>
        </w:rPr>
      </w:pPr>
      <w:r>
        <w:rPr>
          <w:rFonts w:hint="eastAsia" w:ascii="仿宋_GB2312" w:hAnsi="仿宋_GB2312" w:eastAsia="仿宋_GB2312" w:cs="仿宋_GB2312"/>
          <w:color w:val="000000"/>
          <w:sz w:val="32"/>
          <w:szCs w:val="32"/>
          <w:highlight w:val="none"/>
          <w:lang w:eastAsia="zh-CN"/>
        </w:rPr>
        <w:t>（1）教育（类）教育管理事务（款）行政运行（项）1458.62万元，主要用于教育局机关在职人员工资福利、日常公用等方面的基本支出。</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left="0" w:leftChars="0" w:right="0" w:rightChars="0" w:firstLine="640" w:firstLineChars="200"/>
        <w:textAlignment w:val="auto"/>
        <w:outlineLvl w:val="9"/>
        <w:rPr>
          <w:rFonts w:hint="eastAsia" w:ascii="仿宋_GB2312" w:hAnsi="仿宋_GB2312" w:eastAsia="仿宋_GB2312" w:cs="仿宋_GB2312"/>
          <w:color w:val="000000"/>
          <w:sz w:val="32"/>
          <w:szCs w:val="32"/>
          <w:highlight w:val="none"/>
          <w:lang w:eastAsia="zh-CN"/>
        </w:rPr>
      </w:pPr>
      <w:r>
        <w:rPr>
          <w:rFonts w:hint="eastAsia" w:ascii="仿宋_GB2312" w:hAnsi="仿宋_GB2312" w:eastAsia="仿宋_GB2312" w:cs="仿宋_GB2312"/>
          <w:color w:val="000000"/>
          <w:sz w:val="32"/>
          <w:szCs w:val="32"/>
          <w:highlight w:val="none"/>
          <w:lang w:eastAsia="zh-CN"/>
        </w:rPr>
        <w:t>（2）教育（类）教育管理事务（款）其他教育管理事务支出（项）</w:t>
      </w:r>
      <w:r>
        <w:rPr>
          <w:rFonts w:hint="eastAsia" w:ascii="仿宋_GB2312" w:hAnsi="仿宋_GB2312" w:eastAsia="仿宋_GB2312" w:cs="仿宋_GB2312"/>
          <w:color w:val="000000"/>
          <w:sz w:val="32"/>
          <w:szCs w:val="32"/>
          <w:highlight w:val="none"/>
          <w:lang w:val="en-US" w:eastAsia="zh-CN"/>
        </w:rPr>
        <w:t>550.00</w:t>
      </w:r>
      <w:r>
        <w:rPr>
          <w:rFonts w:hint="eastAsia" w:ascii="仿宋_GB2312" w:hAnsi="仿宋_GB2312" w:eastAsia="仿宋_GB2312" w:cs="仿宋_GB2312"/>
          <w:color w:val="000000"/>
          <w:sz w:val="32"/>
          <w:szCs w:val="32"/>
          <w:highlight w:val="none"/>
          <w:lang w:eastAsia="zh-CN"/>
        </w:rPr>
        <w:t>万元，主要用于组织召开全县学校工作会议及全县中小学生文艺汇演、中小学生田径运动会、体育特色项目大展示等诸多赛事所需的各项支出以及各类考试考务活动费用支出和教育督导工作、语言文字工作等工作经费支出。</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left="0" w:leftChars="0" w:right="0" w:rightChars="0" w:firstLine="640" w:firstLineChars="200"/>
        <w:textAlignment w:val="auto"/>
        <w:outlineLvl w:val="9"/>
        <w:rPr>
          <w:rFonts w:hint="eastAsia" w:ascii="仿宋_GB2312" w:hAnsi="仿宋_GB2312" w:eastAsia="仿宋_GB2312" w:cs="仿宋_GB2312"/>
          <w:color w:val="000000"/>
          <w:sz w:val="32"/>
          <w:szCs w:val="32"/>
          <w:highlight w:val="none"/>
          <w:lang w:eastAsia="zh-CN"/>
        </w:rPr>
      </w:pPr>
      <w:r>
        <w:rPr>
          <w:rFonts w:hint="eastAsia" w:ascii="仿宋_GB2312" w:hAnsi="仿宋_GB2312" w:eastAsia="仿宋_GB2312" w:cs="仿宋_GB2312"/>
          <w:color w:val="000000"/>
          <w:sz w:val="32"/>
          <w:szCs w:val="32"/>
          <w:highlight w:val="none"/>
          <w:lang w:eastAsia="zh-CN"/>
        </w:rPr>
        <w:t>（3）教育（类）普通教育（款）学前教育（项）575.49万元，主要用于我县所有公办幼儿园开展学前教育所需的各项支出以及民办幼儿园的项目支出。</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left="0" w:leftChars="0" w:right="0" w:rightChars="0" w:firstLine="640" w:firstLineChars="200"/>
        <w:textAlignment w:val="auto"/>
        <w:outlineLvl w:val="9"/>
        <w:rPr>
          <w:rFonts w:hint="eastAsia" w:ascii="仿宋_GB2312" w:hAnsi="仿宋_GB2312" w:eastAsia="仿宋_GB2312" w:cs="仿宋_GB2312"/>
          <w:color w:val="000000"/>
          <w:sz w:val="32"/>
          <w:szCs w:val="32"/>
          <w:highlight w:val="none"/>
          <w:lang w:eastAsia="zh-CN"/>
        </w:rPr>
      </w:pPr>
      <w:r>
        <w:rPr>
          <w:rFonts w:hint="eastAsia" w:ascii="仿宋_GB2312" w:hAnsi="仿宋_GB2312" w:eastAsia="仿宋_GB2312" w:cs="仿宋_GB2312"/>
          <w:color w:val="000000"/>
          <w:sz w:val="32"/>
          <w:szCs w:val="32"/>
          <w:highlight w:val="none"/>
          <w:lang w:eastAsia="zh-CN"/>
        </w:rPr>
        <w:t>（4）教育（类）普通教育（款）小学教育（项）1833.9</w:t>
      </w:r>
      <w:r>
        <w:rPr>
          <w:rFonts w:hint="eastAsia" w:ascii="仿宋_GB2312" w:hAnsi="仿宋_GB2312" w:eastAsia="仿宋_GB2312" w:cs="仿宋_GB2312"/>
          <w:color w:val="000000"/>
          <w:sz w:val="32"/>
          <w:szCs w:val="32"/>
          <w:highlight w:val="none"/>
          <w:lang w:val="en-US" w:eastAsia="zh-CN"/>
        </w:rPr>
        <w:t>8</w:t>
      </w:r>
      <w:r>
        <w:rPr>
          <w:rFonts w:hint="eastAsia" w:ascii="仿宋_GB2312" w:hAnsi="仿宋_GB2312" w:eastAsia="仿宋_GB2312" w:cs="仿宋_GB2312"/>
          <w:color w:val="000000"/>
          <w:sz w:val="32"/>
          <w:szCs w:val="32"/>
          <w:highlight w:val="none"/>
          <w:lang w:eastAsia="zh-CN"/>
        </w:rPr>
        <w:t>万元，主要用于我县所有小学所需的各专项支出。</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left="0" w:leftChars="0" w:right="0" w:rightChars="0" w:firstLine="640" w:firstLineChars="200"/>
        <w:textAlignment w:val="auto"/>
        <w:outlineLvl w:val="9"/>
        <w:rPr>
          <w:rFonts w:hint="eastAsia" w:ascii="仿宋_GB2312" w:hAnsi="仿宋_GB2312" w:eastAsia="仿宋_GB2312" w:cs="仿宋_GB2312"/>
          <w:color w:val="000000"/>
          <w:sz w:val="32"/>
          <w:szCs w:val="32"/>
          <w:highlight w:val="none"/>
          <w:lang w:eastAsia="zh-CN"/>
        </w:rPr>
      </w:pPr>
      <w:r>
        <w:rPr>
          <w:rFonts w:hint="eastAsia" w:ascii="仿宋_GB2312" w:hAnsi="仿宋_GB2312" w:eastAsia="仿宋_GB2312" w:cs="仿宋_GB2312"/>
          <w:color w:val="000000"/>
          <w:sz w:val="32"/>
          <w:szCs w:val="32"/>
          <w:highlight w:val="none"/>
          <w:lang w:eastAsia="zh-CN"/>
        </w:rPr>
        <w:t>（5）教育（类）普通教育（款）初中教育（项）1485.32万元，主要用于我县所有初中所需的各专项支出。</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left="0" w:leftChars="0" w:right="0" w:rightChars="0" w:firstLine="640" w:firstLineChars="200"/>
        <w:textAlignment w:val="auto"/>
        <w:outlineLvl w:val="9"/>
        <w:rPr>
          <w:rFonts w:hint="eastAsia" w:ascii="仿宋_GB2312" w:hAnsi="仿宋_GB2312" w:eastAsia="仿宋_GB2312" w:cs="仿宋_GB2312"/>
          <w:color w:val="000000"/>
          <w:sz w:val="32"/>
          <w:szCs w:val="32"/>
          <w:highlight w:val="none"/>
          <w:lang w:eastAsia="zh-CN"/>
        </w:rPr>
      </w:pPr>
      <w:r>
        <w:rPr>
          <w:rFonts w:hint="eastAsia" w:ascii="仿宋_GB2312" w:hAnsi="仿宋_GB2312" w:eastAsia="仿宋_GB2312" w:cs="仿宋_GB2312"/>
          <w:color w:val="000000"/>
          <w:sz w:val="32"/>
          <w:szCs w:val="32"/>
          <w:highlight w:val="none"/>
          <w:lang w:eastAsia="zh-CN"/>
        </w:rPr>
        <w:t>（6）教育（类）普通教育（款）高中教育（项）311.39万元，主要用于开展我县3所高中教育所需的各专项支出。</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ascii="仿宋_GB2312" w:hAnsi="仿宋_GB2312" w:eastAsia="仿宋_GB2312" w:cs="仿宋_GB2312"/>
          <w:color w:val="000000"/>
          <w:sz w:val="32"/>
          <w:szCs w:val="32"/>
          <w:highlight w:val="none"/>
          <w:lang w:eastAsia="zh-CN"/>
        </w:rPr>
      </w:pPr>
      <w:r>
        <w:rPr>
          <w:rFonts w:hint="eastAsia" w:ascii="仿宋_GB2312" w:hAnsi="仿宋_GB2312" w:eastAsia="仿宋_GB2312" w:cs="仿宋_GB2312"/>
          <w:color w:val="000000"/>
          <w:sz w:val="32"/>
          <w:szCs w:val="32"/>
          <w:highlight w:val="none"/>
          <w:lang w:eastAsia="zh-CN"/>
        </w:rPr>
        <w:t>（7）教育（类）普通教育（款）其他普通教育支出（项）9266.00万元，主要用于我县各学校义务教育薄弱环节改善与能力提升补助资金、改善基础教育办学条件、校舍安全保障、民办教育专项资金、教育发展专项资金、名优教师人才津贴等所需的各项支出。</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left="0" w:leftChars="0" w:right="0" w:rightChars="0" w:firstLine="640" w:firstLineChars="200"/>
        <w:textAlignment w:val="auto"/>
        <w:outlineLvl w:val="9"/>
        <w:rPr>
          <w:rFonts w:hint="eastAsia" w:ascii="仿宋_GB2312" w:hAnsi="仿宋_GB2312" w:eastAsia="仿宋_GB2312" w:cs="仿宋_GB2312"/>
          <w:color w:val="000000"/>
          <w:sz w:val="32"/>
          <w:szCs w:val="32"/>
          <w:highlight w:val="none"/>
          <w:lang w:eastAsia="zh-CN"/>
        </w:rPr>
      </w:pPr>
      <w:r>
        <w:rPr>
          <w:rFonts w:hint="eastAsia" w:ascii="仿宋_GB2312" w:hAnsi="仿宋_GB2312" w:eastAsia="仿宋_GB2312" w:cs="仿宋_GB2312"/>
          <w:color w:val="000000"/>
          <w:sz w:val="32"/>
          <w:szCs w:val="32"/>
          <w:highlight w:val="none"/>
          <w:lang w:eastAsia="zh-CN"/>
        </w:rPr>
        <w:t>（8）教育（类）职业教育（款）中等职业教育（项）925.44万元，主要用于我县2所职业学校开展中等职业教育所需的各项支出。</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left="0" w:leftChars="0" w:right="0" w:rightChars="0" w:firstLine="640" w:firstLineChars="200"/>
        <w:textAlignment w:val="auto"/>
        <w:outlineLvl w:val="9"/>
        <w:rPr>
          <w:rFonts w:hint="eastAsia" w:ascii="仿宋_GB2312" w:hAnsi="仿宋_GB2312" w:eastAsia="仿宋_GB2312" w:cs="仿宋_GB2312"/>
          <w:color w:val="000000"/>
          <w:sz w:val="32"/>
          <w:szCs w:val="32"/>
          <w:highlight w:val="none"/>
          <w:lang w:eastAsia="zh-CN"/>
        </w:rPr>
      </w:pP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lang w:val="en-US" w:eastAsia="zh-CN"/>
        </w:rPr>
        <w:t>9</w:t>
      </w:r>
      <w:r>
        <w:rPr>
          <w:rFonts w:hint="eastAsia" w:ascii="仿宋_GB2312" w:hAnsi="仿宋_GB2312" w:eastAsia="仿宋_GB2312" w:cs="仿宋_GB2312"/>
          <w:color w:val="000000"/>
          <w:sz w:val="32"/>
          <w:szCs w:val="32"/>
          <w:highlight w:val="none"/>
          <w:lang w:eastAsia="zh-CN"/>
        </w:rPr>
        <w:t>）教育（类）进修及培训（款）教师进修（项）530.00万元，主要用于缙云县教师进修学校和缙云县教育局教研室开展教师进修、培训等教育教学业务所需的各项支出。</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left="0" w:leftChars="0" w:right="0" w:rightChars="0" w:firstLine="640" w:firstLineChars="200"/>
        <w:textAlignment w:val="auto"/>
        <w:outlineLvl w:val="9"/>
        <w:rPr>
          <w:rFonts w:hint="eastAsia" w:ascii="仿宋_GB2312" w:hAnsi="仿宋_GB2312" w:eastAsia="仿宋_GB2312" w:cs="仿宋_GB2312"/>
          <w:color w:val="000000"/>
          <w:sz w:val="32"/>
          <w:szCs w:val="32"/>
          <w:highlight w:val="none"/>
          <w:lang w:eastAsia="zh-CN"/>
        </w:rPr>
      </w:pPr>
      <w:r>
        <w:rPr>
          <w:rFonts w:hint="eastAsia" w:ascii="仿宋_GB2312" w:hAnsi="仿宋_GB2312" w:eastAsia="仿宋_GB2312" w:cs="仿宋_GB2312"/>
          <w:color w:val="000000"/>
          <w:sz w:val="32"/>
          <w:szCs w:val="32"/>
          <w:highlight w:val="none"/>
          <w:lang w:eastAsia="zh-CN"/>
        </w:rPr>
        <w:t>（1</w:t>
      </w:r>
      <w:r>
        <w:rPr>
          <w:rFonts w:hint="eastAsia" w:ascii="仿宋_GB2312" w:hAnsi="仿宋_GB2312" w:eastAsia="仿宋_GB2312" w:cs="仿宋_GB2312"/>
          <w:color w:val="000000"/>
          <w:sz w:val="32"/>
          <w:szCs w:val="32"/>
          <w:highlight w:val="none"/>
          <w:lang w:val="en-US" w:eastAsia="zh-CN"/>
        </w:rPr>
        <w:t>0</w:t>
      </w:r>
      <w:r>
        <w:rPr>
          <w:rFonts w:hint="eastAsia" w:ascii="仿宋_GB2312" w:hAnsi="仿宋_GB2312" w:eastAsia="仿宋_GB2312" w:cs="仿宋_GB2312"/>
          <w:color w:val="000000"/>
          <w:sz w:val="32"/>
          <w:szCs w:val="32"/>
          <w:highlight w:val="none"/>
          <w:lang w:eastAsia="zh-CN"/>
        </w:rPr>
        <w:t>）教育（类）教育费附加安排的支出（款）农村中小学教学设施（项）安排853.00万元，主要用于全县学校校舍修缮和维护、改善基础教育办学条件专项资金所需的各项支出。</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left="0" w:leftChars="0" w:right="0" w:rightChars="0" w:firstLine="640" w:firstLineChars="200"/>
        <w:textAlignment w:val="auto"/>
        <w:outlineLvl w:val="9"/>
        <w:rPr>
          <w:rFonts w:hint="eastAsia"/>
          <w:highlight w:val="none"/>
          <w:lang w:eastAsia="zh-CN"/>
        </w:rPr>
      </w:pPr>
      <w:r>
        <w:rPr>
          <w:rFonts w:hint="eastAsia" w:ascii="仿宋_GB2312" w:hAnsi="仿宋_GB2312" w:eastAsia="仿宋_GB2312" w:cs="仿宋_GB2312"/>
          <w:color w:val="000000"/>
          <w:sz w:val="32"/>
          <w:szCs w:val="32"/>
          <w:highlight w:val="none"/>
          <w:lang w:eastAsia="zh-CN"/>
        </w:rPr>
        <w:t>（1</w:t>
      </w:r>
      <w:r>
        <w:rPr>
          <w:rFonts w:hint="eastAsia" w:ascii="仿宋_GB2312" w:hAnsi="仿宋_GB2312" w:eastAsia="仿宋_GB2312" w:cs="仿宋_GB2312"/>
          <w:color w:val="000000"/>
          <w:sz w:val="32"/>
          <w:szCs w:val="32"/>
          <w:highlight w:val="none"/>
          <w:lang w:val="en-US" w:eastAsia="zh-CN"/>
        </w:rPr>
        <w:t>1</w:t>
      </w:r>
      <w:r>
        <w:rPr>
          <w:rFonts w:hint="eastAsia" w:ascii="仿宋_GB2312" w:hAnsi="仿宋_GB2312" w:eastAsia="仿宋_GB2312" w:cs="仿宋_GB2312"/>
          <w:color w:val="000000"/>
          <w:sz w:val="32"/>
          <w:szCs w:val="32"/>
          <w:highlight w:val="none"/>
          <w:lang w:eastAsia="zh-CN"/>
        </w:rPr>
        <w:t>）教育（类）教育费附加安排的支出（款）城市中小学校舍建设（项）安排12000.00万元，主要用于缙云县轩辕学校等</w:t>
      </w:r>
      <w:r>
        <w:rPr>
          <w:rFonts w:hint="eastAsia" w:ascii="仿宋_GB2312" w:hAnsi="仿宋_GB2312" w:eastAsia="仿宋_GB2312" w:cs="仿宋_GB2312"/>
          <w:color w:val="000000"/>
          <w:sz w:val="32"/>
          <w:szCs w:val="32"/>
          <w:highlight w:val="none"/>
          <w:lang w:val="en-US" w:eastAsia="zh-CN"/>
        </w:rPr>
        <w:t>4所学校</w:t>
      </w:r>
      <w:r>
        <w:rPr>
          <w:rFonts w:hint="eastAsia" w:ascii="仿宋_GB2312" w:hAnsi="仿宋_GB2312" w:eastAsia="仿宋_GB2312" w:cs="仿宋_GB2312"/>
          <w:color w:val="000000"/>
          <w:sz w:val="32"/>
          <w:szCs w:val="32"/>
          <w:highlight w:val="none"/>
          <w:lang w:eastAsia="zh-CN"/>
        </w:rPr>
        <w:t>基建项目建设所需的各项支出。</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left="0" w:leftChars="0" w:right="0" w:rightChars="0" w:firstLine="640" w:firstLineChars="200"/>
        <w:textAlignment w:val="auto"/>
        <w:outlineLvl w:val="9"/>
        <w:rPr>
          <w:rFonts w:hint="eastAsia" w:ascii="仿宋_GB2312" w:hAnsi="仿宋_GB2312" w:eastAsia="仿宋_GB2312" w:cs="仿宋_GB2312"/>
          <w:color w:val="000000"/>
          <w:sz w:val="32"/>
          <w:szCs w:val="32"/>
          <w:highlight w:val="none"/>
          <w:lang w:eastAsia="zh-CN"/>
        </w:rPr>
      </w:pPr>
      <w:r>
        <w:rPr>
          <w:rFonts w:hint="eastAsia" w:ascii="仿宋_GB2312" w:hAnsi="仿宋_GB2312" w:eastAsia="仿宋_GB2312" w:cs="仿宋_GB2312"/>
          <w:color w:val="000000"/>
          <w:sz w:val="32"/>
          <w:szCs w:val="32"/>
          <w:highlight w:val="none"/>
          <w:lang w:eastAsia="zh-CN"/>
        </w:rPr>
        <w:t>（1</w:t>
      </w:r>
      <w:r>
        <w:rPr>
          <w:rFonts w:hint="eastAsia" w:ascii="仿宋_GB2312" w:hAnsi="仿宋_GB2312" w:eastAsia="仿宋_GB2312" w:cs="仿宋_GB2312"/>
          <w:color w:val="000000"/>
          <w:sz w:val="32"/>
          <w:szCs w:val="32"/>
          <w:highlight w:val="none"/>
          <w:lang w:val="en-US" w:eastAsia="zh-CN"/>
        </w:rPr>
        <w:t>2</w:t>
      </w:r>
      <w:r>
        <w:rPr>
          <w:rFonts w:hint="eastAsia" w:ascii="仿宋_GB2312" w:hAnsi="仿宋_GB2312" w:eastAsia="仿宋_GB2312" w:cs="仿宋_GB2312"/>
          <w:color w:val="000000"/>
          <w:sz w:val="32"/>
          <w:szCs w:val="32"/>
          <w:highlight w:val="none"/>
          <w:lang w:eastAsia="zh-CN"/>
        </w:rPr>
        <w:t>）教育（类）教育费附加安排的支出（款）其他教育费附加安排的支出（项）安排4816.50万元，主要用于社区教育专项、平安校园工程、职业教育质量提升、代课金等工作所需的各项支出。</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left="0" w:leftChars="0" w:right="0" w:rightChars="0" w:firstLine="640" w:firstLineChars="200"/>
        <w:textAlignment w:val="auto"/>
        <w:outlineLvl w:val="9"/>
        <w:rPr>
          <w:rFonts w:hint="eastAsia" w:ascii="仿宋_GB2312" w:hAnsi="仿宋_GB2312" w:eastAsia="仿宋_GB2312" w:cs="仿宋_GB2312"/>
          <w:color w:val="000000"/>
          <w:sz w:val="32"/>
          <w:szCs w:val="32"/>
          <w:highlight w:val="none"/>
          <w:lang w:eastAsia="zh-CN"/>
        </w:rPr>
      </w:pPr>
      <w:r>
        <w:rPr>
          <w:rFonts w:hint="eastAsia" w:ascii="仿宋_GB2312" w:hAnsi="仿宋_GB2312" w:eastAsia="仿宋_GB2312" w:cs="仿宋_GB2312"/>
          <w:color w:val="000000"/>
          <w:sz w:val="32"/>
          <w:szCs w:val="32"/>
          <w:highlight w:val="none"/>
          <w:lang w:eastAsia="zh-CN"/>
        </w:rPr>
        <w:t>（1</w:t>
      </w:r>
      <w:r>
        <w:rPr>
          <w:rFonts w:hint="eastAsia" w:ascii="仿宋_GB2312" w:hAnsi="仿宋_GB2312" w:eastAsia="仿宋_GB2312" w:cs="仿宋_GB2312"/>
          <w:color w:val="000000"/>
          <w:sz w:val="32"/>
          <w:szCs w:val="32"/>
          <w:highlight w:val="none"/>
          <w:lang w:val="en-US" w:eastAsia="zh-CN"/>
        </w:rPr>
        <w:t>3</w:t>
      </w:r>
      <w:r>
        <w:rPr>
          <w:rFonts w:hint="eastAsia" w:ascii="仿宋_GB2312" w:hAnsi="仿宋_GB2312" w:eastAsia="仿宋_GB2312" w:cs="仿宋_GB2312"/>
          <w:color w:val="000000"/>
          <w:sz w:val="32"/>
          <w:szCs w:val="32"/>
          <w:highlight w:val="none"/>
          <w:lang w:eastAsia="zh-CN"/>
        </w:rPr>
        <w:t>）社会保障和就业支出（类）行政事业单位离退休（款）机关事业单位基本养老保险缴费支出（项）安排106.85万元，主要用于教育局机关人员基本养老保险支出。</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left="0" w:leftChars="0" w:right="0" w:rightChars="0" w:firstLine="640" w:firstLineChars="200"/>
        <w:textAlignment w:val="auto"/>
        <w:outlineLvl w:val="9"/>
        <w:rPr>
          <w:rFonts w:hint="eastAsia" w:ascii="仿宋_GB2312" w:hAnsi="仿宋_GB2312" w:eastAsia="仿宋_GB2312" w:cs="仿宋_GB2312"/>
          <w:color w:val="000000"/>
          <w:sz w:val="32"/>
          <w:szCs w:val="32"/>
          <w:highlight w:val="none"/>
          <w:lang w:eastAsia="zh-CN"/>
        </w:rPr>
      </w:pPr>
      <w:r>
        <w:rPr>
          <w:rFonts w:hint="eastAsia" w:ascii="仿宋_GB2312" w:hAnsi="仿宋_GB2312" w:eastAsia="仿宋_GB2312" w:cs="仿宋_GB2312"/>
          <w:color w:val="000000"/>
          <w:sz w:val="32"/>
          <w:szCs w:val="32"/>
          <w:highlight w:val="none"/>
          <w:lang w:eastAsia="zh-CN"/>
        </w:rPr>
        <w:t>（1</w:t>
      </w:r>
      <w:r>
        <w:rPr>
          <w:rFonts w:hint="eastAsia" w:ascii="仿宋_GB2312" w:hAnsi="仿宋_GB2312" w:eastAsia="仿宋_GB2312" w:cs="仿宋_GB2312"/>
          <w:color w:val="000000"/>
          <w:sz w:val="32"/>
          <w:szCs w:val="32"/>
          <w:highlight w:val="none"/>
          <w:lang w:val="en-US" w:eastAsia="zh-CN"/>
        </w:rPr>
        <w:t>4</w:t>
      </w:r>
      <w:r>
        <w:rPr>
          <w:rFonts w:hint="eastAsia" w:ascii="仿宋_GB2312" w:hAnsi="仿宋_GB2312" w:eastAsia="仿宋_GB2312" w:cs="仿宋_GB2312"/>
          <w:color w:val="000000"/>
          <w:sz w:val="32"/>
          <w:szCs w:val="32"/>
          <w:highlight w:val="none"/>
          <w:lang w:eastAsia="zh-CN"/>
        </w:rPr>
        <w:t>）社会保障和就业支出（类）行政事业单位离退休（款）机关事业单位职业年金缴费支出（项）安排53.42万元，主要用于教育局机关人员的职业年金缴纳支出。</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left="0" w:leftChars="0" w:right="0" w:rightChars="0" w:firstLine="640" w:firstLineChars="200"/>
        <w:textAlignment w:val="auto"/>
        <w:outlineLvl w:val="9"/>
        <w:rPr>
          <w:rFonts w:hint="eastAsia" w:ascii="仿宋_GB2312" w:hAnsi="仿宋_GB2312" w:eastAsia="仿宋_GB2312" w:cs="仿宋_GB2312"/>
          <w:color w:val="000000"/>
          <w:sz w:val="32"/>
          <w:szCs w:val="32"/>
          <w:highlight w:val="none"/>
          <w:lang w:eastAsia="zh-CN"/>
        </w:rPr>
      </w:pPr>
      <w:r>
        <w:rPr>
          <w:rFonts w:hint="eastAsia" w:ascii="仿宋_GB2312" w:hAnsi="仿宋_GB2312" w:eastAsia="仿宋_GB2312" w:cs="仿宋_GB2312"/>
          <w:color w:val="000000"/>
          <w:sz w:val="32"/>
          <w:szCs w:val="32"/>
          <w:highlight w:val="none"/>
          <w:lang w:eastAsia="zh-CN"/>
        </w:rPr>
        <w:t>（1</w:t>
      </w:r>
      <w:r>
        <w:rPr>
          <w:rFonts w:hint="eastAsia" w:ascii="仿宋_GB2312" w:hAnsi="仿宋_GB2312" w:eastAsia="仿宋_GB2312" w:cs="仿宋_GB2312"/>
          <w:color w:val="000000"/>
          <w:sz w:val="32"/>
          <w:szCs w:val="32"/>
          <w:highlight w:val="none"/>
          <w:lang w:val="en-US" w:eastAsia="zh-CN"/>
        </w:rPr>
        <w:t>5</w:t>
      </w:r>
      <w:r>
        <w:rPr>
          <w:rFonts w:hint="eastAsia" w:ascii="仿宋_GB2312" w:hAnsi="仿宋_GB2312" w:eastAsia="仿宋_GB2312" w:cs="仿宋_GB2312"/>
          <w:color w:val="000000"/>
          <w:sz w:val="32"/>
          <w:szCs w:val="32"/>
          <w:highlight w:val="none"/>
          <w:lang w:eastAsia="zh-CN"/>
        </w:rPr>
        <w:t>）卫生健康支出（类）行政事业单位医疗（款）行政单位医疗（项）136.44万元，主要用于教育局机关人员基本医疗保险缴费支出。</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left="0" w:leftChars="0" w:right="0" w:rightChars="0" w:firstLine="640" w:firstLineChars="200"/>
        <w:textAlignment w:val="auto"/>
        <w:outlineLvl w:val="9"/>
        <w:rPr>
          <w:rFonts w:hint="eastAsia" w:ascii="楷体_GB2312" w:hAnsi="楷体_GB2312" w:eastAsia="楷体_GB2312" w:cs="楷体_GB2312"/>
          <w:b w:val="0"/>
          <w:bCs/>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eastAsia="zh-CN"/>
        </w:rPr>
        <w:t>（1</w:t>
      </w:r>
      <w:r>
        <w:rPr>
          <w:rFonts w:hint="eastAsia" w:ascii="仿宋_GB2312" w:hAnsi="仿宋_GB2312" w:eastAsia="仿宋_GB2312" w:cs="仿宋_GB2312"/>
          <w:color w:val="000000"/>
          <w:sz w:val="32"/>
          <w:szCs w:val="32"/>
          <w:highlight w:val="none"/>
          <w:lang w:val="en-US" w:eastAsia="zh-CN"/>
        </w:rPr>
        <w:t>6</w:t>
      </w:r>
      <w:r>
        <w:rPr>
          <w:rFonts w:hint="eastAsia" w:ascii="仿宋_GB2312" w:hAnsi="仿宋_GB2312" w:eastAsia="仿宋_GB2312" w:cs="仿宋_GB2312"/>
          <w:color w:val="000000"/>
          <w:sz w:val="32"/>
          <w:szCs w:val="32"/>
          <w:highlight w:val="none"/>
          <w:lang w:eastAsia="zh-CN"/>
        </w:rPr>
        <w:t>）住房保障支出（类）住房改革支出（款）住房公积金（项）148.16万元，主要用于教育局机关人员缴纳住房公积金支出。</w:t>
      </w:r>
      <w:r>
        <w:rPr>
          <w:rFonts w:hint="eastAsia" w:ascii="楷体_GB2312" w:hAnsi="楷体_GB2312" w:eastAsia="楷体_GB2312" w:cs="楷体_GB2312"/>
          <w:b w:val="0"/>
          <w:bCs/>
          <w:color w:val="000000"/>
          <w:sz w:val="32"/>
          <w:szCs w:val="32"/>
          <w:highlight w:val="none"/>
          <w:lang w:val="en-US" w:eastAsia="zh-CN"/>
        </w:rPr>
        <w:t xml:space="preserve">    </w:t>
      </w:r>
    </w:p>
    <w:p>
      <w:pPr>
        <w:spacing w:line="520" w:lineRule="exact"/>
        <w:rPr>
          <w:rFonts w:ascii="楷体_GB2312" w:hAnsi="楷体_GB2312" w:eastAsia="楷体_GB2312" w:cs="楷体_GB2312"/>
          <w:bCs/>
          <w:color w:val="000000"/>
          <w:sz w:val="32"/>
          <w:szCs w:val="32"/>
          <w:highlight w:val="none"/>
        </w:rPr>
      </w:pPr>
      <w:r>
        <w:rPr>
          <w:rFonts w:hint="eastAsia" w:ascii="楷体_GB2312" w:hAnsi="楷体_GB2312" w:eastAsia="楷体_GB2312" w:cs="楷体_GB2312"/>
          <w:bCs/>
          <w:color w:val="000000"/>
          <w:sz w:val="32"/>
          <w:szCs w:val="32"/>
          <w:highlight w:val="none"/>
        </w:rPr>
        <w:t xml:space="preserve">    （六）关于缙云县教育局2024年一般公共预算基本支出情况说明</w:t>
      </w:r>
    </w:p>
    <w:p>
      <w:pPr>
        <w:spacing w:line="520" w:lineRule="exact"/>
        <w:ind w:firstLine="642"/>
        <w:rPr>
          <w:rFonts w:ascii="仿宋_GB2312" w:eastAsia="仿宋_GB2312"/>
          <w:color w:val="000000"/>
          <w:sz w:val="32"/>
          <w:szCs w:val="32"/>
          <w:highlight w:val="none"/>
        </w:rPr>
      </w:pPr>
      <w:r>
        <w:rPr>
          <w:rFonts w:hint="eastAsia" w:ascii="仿宋_GB2312" w:eastAsia="仿宋_GB2312"/>
          <w:color w:val="000000"/>
          <w:sz w:val="32"/>
          <w:szCs w:val="32"/>
          <w:highlight w:val="none"/>
        </w:rPr>
        <w:t>缙云县教育局2024年一般公共预算基本支出2091.20万元，其中：</w:t>
      </w:r>
    </w:p>
    <w:p>
      <w:pPr>
        <w:spacing w:line="520" w:lineRule="exact"/>
        <w:ind w:firstLine="642"/>
        <w:rPr>
          <w:rFonts w:ascii="仿宋_GB2312" w:eastAsia="仿宋_GB2312"/>
          <w:color w:val="000000"/>
          <w:sz w:val="32"/>
          <w:szCs w:val="32"/>
          <w:highlight w:val="none"/>
        </w:rPr>
      </w:pPr>
      <w:r>
        <w:rPr>
          <w:rFonts w:hint="eastAsia" w:ascii="仿宋_GB2312" w:eastAsia="仿宋_GB2312"/>
          <w:color w:val="000000"/>
          <w:sz w:val="32"/>
          <w:szCs w:val="32"/>
          <w:highlight w:val="none"/>
        </w:rPr>
        <w:t>人员经费1740.2</w:t>
      </w:r>
      <w:r>
        <w:rPr>
          <w:rFonts w:hint="eastAsia" w:ascii="仿宋_GB2312" w:eastAsia="仿宋_GB2312"/>
          <w:color w:val="000000"/>
          <w:sz w:val="32"/>
          <w:szCs w:val="32"/>
          <w:highlight w:val="none"/>
          <w:lang w:val="en-US" w:eastAsia="zh-CN"/>
        </w:rPr>
        <w:t>2</w:t>
      </w:r>
      <w:r>
        <w:rPr>
          <w:rFonts w:hint="eastAsia" w:ascii="仿宋_GB2312" w:eastAsia="仿宋_GB2312"/>
          <w:color w:val="000000"/>
          <w:sz w:val="32"/>
          <w:szCs w:val="32"/>
          <w:highlight w:val="none"/>
        </w:rPr>
        <w:t>万元，主要包括：基本工资、津贴补贴、奖金、</w:t>
      </w:r>
      <w:r>
        <w:rPr>
          <w:rFonts w:hint="eastAsia" w:ascii="仿宋_GB2312" w:eastAsia="仿宋_GB2312"/>
          <w:color w:val="000000"/>
          <w:sz w:val="32"/>
          <w:szCs w:val="32"/>
          <w:highlight w:val="none"/>
          <w:lang w:val="en-US" w:eastAsia="zh-CN"/>
        </w:rPr>
        <w:t>伙食补助费、</w:t>
      </w:r>
      <w:r>
        <w:rPr>
          <w:rFonts w:hint="eastAsia" w:ascii="仿宋_GB2312" w:eastAsia="仿宋_GB2312"/>
          <w:color w:val="000000"/>
          <w:sz w:val="32"/>
          <w:szCs w:val="32"/>
          <w:highlight w:val="none"/>
        </w:rPr>
        <w:t>绩效工资、机关事业单位基本养老保险缴费、职业年金缴费、职工基本医疗保险缴费、公务员医疗补助缴费、其他社会保障缴费、住房公积金、其他工资福利支出、生活补助、其他对个人和家庭的补助；</w:t>
      </w:r>
    </w:p>
    <w:p>
      <w:pPr>
        <w:spacing w:line="520" w:lineRule="exact"/>
        <w:ind w:firstLine="642"/>
        <w:rPr>
          <w:rFonts w:ascii="仿宋_GB2312" w:eastAsia="仿宋_GB2312"/>
          <w:color w:val="000000"/>
          <w:sz w:val="32"/>
          <w:szCs w:val="32"/>
          <w:highlight w:val="none"/>
        </w:rPr>
      </w:pPr>
      <w:r>
        <w:rPr>
          <w:rFonts w:hint="eastAsia" w:ascii="仿宋_GB2312" w:eastAsia="仿宋_GB2312"/>
          <w:color w:val="000000"/>
          <w:sz w:val="32"/>
          <w:szCs w:val="32"/>
          <w:highlight w:val="none"/>
        </w:rPr>
        <w:t>公用经费350.98万元，主要包括：办公费、印刷费、邮电费、差旅费、维修（护）费、公务接待费、工会经费、福利费、其他交通费用、其他商品和服务支出。</w:t>
      </w:r>
    </w:p>
    <w:p>
      <w:pPr>
        <w:spacing w:line="520" w:lineRule="exact"/>
        <w:ind w:firstLine="642"/>
        <w:rPr>
          <w:rFonts w:ascii="楷体_GB2312" w:hAnsi="楷体_GB2312" w:eastAsia="楷体_GB2312" w:cs="楷体_GB2312"/>
          <w:bCs/>
          <w:color w:val="000000"/>
          <w:sz w:val="32"/>
          <w:szCs w:val="32"/>
          <w:highlight w:val="none"/>
        </w:rPr>
      </w:pPr>
      <w:r>
        <w:rPr>
          <w:rFonts w:hint="eastAsia" w:ascii="楷体_GB2312" w:hAnsi="楷体_GB2312" w:eastAsia="楷体_GB2312" w:cs="楷体_GB2312"/>
          <w:bCs/>
          <w:color w:val="000000"/>
          <w:sz w:val="32"/>
          <w:szCs w:val="32"/>
          <w:highlight w:val="none"/>
        </w:rPr>
        <w:t>（七）关于缙云县教育局2024年政府性基金预算支出情况说明</w:t>
      </w:r>
    </w:p>
    <w:p>
      <w:pPr>
        <w:spacing w:line="520" w:lineRule="exact"/>
        <w:ind w:firstLine="642"/>
        <w:rPr>
          <w:rFonts w:ascii="仿宋_GB2312" w:hAnsi="仿宋_GB2312" w:eastAsia="仿宋_GB2312" w:cs="仿宋_GB2312"/>
          <w:b/>
          <w:color w:val="000000"/>
          <w:sz w:val="32"/>
          <w:szCs w:val="32"/>
          <w:highlight w:val="none"/>
        </w:rPr>
      </w:pPr>
      <w:r>
        <w:rPr>
          <w:rFonts w:hint="eastAsia" w:ascii="仿宋_GB2312" w:hAnsi="仿宋_GB2312" w:eastAsia="仿宋_GB2312" w:cs="仿宋_GB2312"/>
          <w:b/>
          <w:color w:val="000000"/>
          <w:sz w:val="32"/>
          <w:szCs w:val="32"/>
          <w:highlight w:val="none"/>
        </w:rPr>
        <w:t>1.政府性基金预算拨款规模变化情况。</w:t>
      </w:r>
    </w:p>
    <w:p>
      <w:pPr>
        <w:spacing w:line="520" w:lineRule="exact"/>
        <w:ind w:firstLine="642"/>
        <w:rPr>
          <w:rFonts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缙云县教育局2024年政府性基金预算拨款187.96万元，比2023年执行数减少</w:t>
      </w:r>
      <w:r>
        <w:rPr>
          <w:rFonts w:hint="eastAsia" w:ascii="仿宋_GB2312" w:hAnsi="仿宋_GB2312" w:eastAsia="仿宋_GB2312" w:cs="仿宋_GB2312"/>
          <w:color w:val="000000"/>
          <w:sz w:val="32"/>
          <w:szCs w:val="32"/>
          <w:highlight w:val="none"/>
          <w:lang w:val="en-US" w:eastAsia="zh-CN"/>
        </w:rPr>
        <w:t>19185.56</w:t>
      </w:r>
      <w:r>
        <w:rPr>
          <w:rFonts w:hint="eastAsia" w:ascii="仿宋_GB2312" w:hAnsi="仿宋_GB2312" w:eastAsia="仿宋_GB2312" w:cs="仿宋_GB2312"/>
          <w:color w:val="000000"/>
          <w:sz w:val="32"/>
          <w:szCs w:val="32"/>
          <w:highlight w:val="none"/>
        </w:rPr>
        <w:t>万元，</w:t>
      </w:r>
      <w:r>
        <w:rPr>
          <w:rFonts w:hint="eastAsia" w:ascii="仿宋_GB2312" w:hAnsi="仿宋_GB2312" w:eastAsia="仿宋_GB2312" w:cs="仿宋_GB2312"/>
          <w:color w:val="000000"/>
          <w:sz w:val="32"/>
          <w:highlight w:val="none"/>
        </w:rPr>
        <w:t>下降</w:t>
      </w:r>
      <w:r>
        <w:rPr>
          <w:rFonts w:hint="eastAsia" w:ascii="仿宋_GB2312" w:hAnsi="仿宋_GB2312" w:eastAsia="仿宋_GB2312" w:cs="仿宋_GB2312"/>
          <w:color w:val="000000"/>
          <w:sz w:val="32"/>
          <w:highlight w:val="none"/>
          <w:lang w:val="en-US" w:eastAsia="zh-CN"/>
        </w:rPr>
        <w:t>99.03</w:t>
      </w:r>
      <w:r>
        <w:rPr>
          <w:rFonts w:hint="eastAsia" w:ascii="仿宋_GB2312" w:hAnsi="仿宋_GB2312" w:eastAsia="仿宋_GB2312" w:cs="仿宋_GB2312"/>
          <w:color w:val="000000"/>
          <w:sz w:val="32"/>
          <w:highlight w:val="none"/>
        </w:rPr>
        <w:t>%，</w:t>
      </w:r>
      <w:r>
        <w:rPr>
          <w:rFonts w:hint="eastAsia" w:ascii="仿宋_GB2312" w:hAnsi="仿宋_GB2312" w:eastAsia="仿宋_GB2312" w:cs="仿宋_GB2312"/>
          <w:color w:val="000000"/>
          <w:sz w:val="32"/>
          <w:szCs w:val="32"/>
          <w:highlight w:val="none"/>
        </w:rPr>
        <w:t>主要是</w:t>
      </w:r>
      <w:r>
        <w:rPr>
          <w:rFonts w:hint="eastAsia" w:ascii="仿宋_GB2312" w:hAnsi="仿宋_GB2312" w:eastAsia="仿宋_GB2312" w:cs="仿宋_GB2312"/>
          <w:color w:val="000000"/>
          <w:sz w:val="32"/>
          <w:szCs w:val="32"/>
          <w:highlight w:val="none"/>
          <w:lang w:val="en-US" w:eastAsia="zh-CN"/>
        </w:rPr>
        <w:t>2023年有追加执行专项债券资金15000万元用于缙云县第二职业高中等项目建设等</w:t>
      </w:r>
      <w:r>
        <w:rPr>
          <w:rFonts w:hint="eastAsia" w:ascii="仿宋_GB2312" w:hAnsi="仿宋_GB2312" w:eastAsia="仿宋_GB2312" w:cs="仿宋_GB2312"/>
          <w:color w:val="000000"/>
          <w:sz w:val="32"/>
          <w:szCs w:val="32"/>
          <w:highlight w:val="none"/>
        </w:rPr>
        <w:t>。</w:t>
      </w:r>
    </w:p>
    <w:p>
      <w:pPr>
        <w:spacing w:line="520" w:lineRule="exact"/>
        <w:ind w:firstLine="642"/>
        <w:rPr>
          <w:rFonts w:ascii="仿宋_GB2312" w:hAnsi="仿宋_GB2312" w:eastAsia="仿宋_GB2312" w:cs="仿宋_GB2312"/>
          <w:b/>
          <w:color w:val="000000"/>
          <w:sz w:val="32"/>
          <w:szCs w:val="32"/>
          <w:highlight w:val="none"/>
        </w:rPr>
      </w:pPr>
      <w:r>
        <w:rPr>
          <w:rFonts w:hint="eastAsia" w:ascii="仿宋_GB2312" w:hAnsi="仿宋_GB2312" w:eastAsia="仿宋_GB2312" w:cs="仿宋_GB2312"/>
          <w:b/>
          <w:color w:val="000000"/>
          <w:sz w:val="32"/>
          <w:szCs w:val="32"/>
          <w:highlight w:val="none"/>
        </w:rPr>
        <w:t>2.政府性基金预算拨款结构情况。</w:t>
      </w:r>
    </w:p>
    <w:p>
      <w:pPr>
        <w:spacing w:line="520" w:lineRule="exact"/>
        <w:ind w:firstLine="640" w:firstLineChars="200"/>
        <w:rPr>
          <w:rFonts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城乡社区支出187.96万元，占100.0%。</w:t>
      </w:r>
    </w:p>
    <w:p>
      <w:pPr>
        <w:spacing w:line="520" w:lineRule="exact"/>
        <w:rPr>
          <w:rFonts w:ascii="仿宋_GB2312" w:hAnsi="仿宋_GB2312" w:eastAsia="仿宋_GB2312" w:cs="仿宋_GB2312"/>
          <w:b/>
          <w:color w:val="000000"/>
          <w:sz w:val="32"/>
          <w:szCs w:val="32"/>
          <w:highlight w:val="none"/>
        </w:rPr>
      </w:pPr>
      <w:r>
        <w:rPr>
          <w:rFonts w:hint="eastAsia" w:ascii="仿宋_GB2312" w:hAnsi="仿宋_GB2312" w:eastAsia="仿宋_GB2312" w:cs="仿宋_GB2312"/>
          <w:b/>
          <w:color w:val="000000"/>
          <w:sz w:val="32"/>
          <w:szCs w:val="32"/>
          <w:highlight w:val="none"/>
        </w:rPr>
        <w:t xml:space="preserve">  </w:t>
      </w:r>
      <w:r>
        <w:rPr>
          <w:rFonts w:hint="eastAsia" w:ascii="仿宋_GB2312" w:hAnsi="仿宋_GB2312" w:eastAsia="仿宋_GB2312" w:cs="仿宋_GB2312"/>
          <w:b/>
          <w:color w:val="000000"/>
          <w:sz w:val="32"/>
          <w:szCs w:val="32"/>
          <w:highlight w:val="none"/>
          <w:lang w:val="en-US" w:eastAsia="zh-CN"/>
        </w:rPr>
        <w:t xml:space="preserve">  </w:t>
      </w:r>
      <w:r>
        <w:rPr>
          <w:rFonts w:hint="eastAsia" w:ascii="仿宋_GB2312" w:hAnsi="仿宋_GB2312" w:eastAsia="仿宋_GB2312" w:cs="仿宋_GB2312"/>
          <w:b/>
          <w:color w:val="000000"/>
          <w:sz w:val="32"/>
          <w:szCs w:val="32"/>
          <w:highlight w:val="none"/>
        </w:rPr>
        <w:t>3.政府性基金预算拨款具体使用情况。</w:t>
      </w:r>
    </w:p>
    <w:p>
      <w:pPr>
        <w:keepNext w:val="0"/>
        <w:keepLines w:val="0"/>
        <w:pageBreakBefore w:val="0"/>
        <w:kinsoku/>
        <w:wordWrap/>
        <w:overflowPunct/>
        <w:topLinePunct w:val="0"/>
        <w:autoSpaceDE/>
        <w:autoSpaceDN/>
        <w:bidi w:val="0"/>
        <w:adjustRightInd/>
        <w:snapToGrid/>
        <w:spacing w:beforeLines="0" w:afterLines="0" w:line="520" w:lineRule="exact"/>
        <w:ind w:left="0" w:leftChars="0" w:right="0" w:rightChars="0" w:firstLine="640"/>
        <w:jc w:val="both"/>
        <w:textAlignment w:val="auto"/>
        <w:outlineLvl w:val="9"/>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1</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城乡社区支出（类）国有土地使用权出让收入安排的支出（款）城市建设支出（项）</w:t>
      </w:r>
      <w:r>
        <w:rPr>
          <w:rFonts w:hint="eastAsia" w:ascii="仿宋_GB2312" w:hAnsi="仿宋_GB2312" w:eastAsia="仿宋_GB2312" w:cs="仿宋_GB2312"/>
          <w:color w:val="000000"/>
          <w:sz w:val="32"/>
          <w:szCs w:val="32"/>
          <w:highlight w:val="none"/>
          <w:lang w:val="en-US" w:eastAsia="zh-CN"/>
        </w:rPr>
        <w:t>187.96</w:t>
      </w:r>
      <w:r>
        <w:rPr>
          <w:rFonts w:hint="eastAsia" w:ascii="仿宋_GB2312" w:hAnsi="仿宋_GB2312" w:eastAsia="仿宋_GB2312" w:cs="仿宋_GB2312"/>
          <w:color w:val="000000"/>
          <w:sz w:val="32"/>
          <w:szCs w:val="32"/>
          <w:highlight w:val="none"/>
        </w:rPr>
        <w:t>万元，主要用于</w:t>
      </w:r>
      <w:r>
        <w:rPr>
          <w:rFonts w:hint="eastAsia" w:ascii="仿宋_GB2312" w:hAnsi="仿宋_GB2312" w:eastAsia="仿宋_GB2312" w:cs="仿宋_GB2312"/>
          <w:color w:val="000000"/>
          <w:sz w:val="32"/>
          <w:szCs w:val="32"/>
          <w:highlight w:val="none"/>
          <w:lang w:eastAsia="zh-CN"/>
        </w:rPr>
        <w:t>缙云县东渡小学扩建工程</w:t>
      </w:r>
      <w:r>
        <w:rPr>
          <w:rFonts w:hint="eastAsia" w:ascii="仿宋_GB2312" w:hAnsi="仿宋_GB2312" w:eastAsia="仿宋_GB2312" w:cs="仿宋_GB2312"/>
          <w:color w:val="000000"/>
          <w:sz w:val="32"/>
          <w:szCs w:val="32"/>
          <w:highlight w:val="none"/>
        </w:rPr>
        <w:t>等</w:t>
      </w:r>
      <w:r>
        <w:rPr>
          <w:rFonts w:hint="eastAsia" w:ascii="仿宋_GB2312" w:hAnsi="仿宋_GB2312" w:eastAsia="仿宋_GB2312" w:cs="仿宋_GB2312"/>
          <w:color w:val="000000"/>
          <w:sz w:val="32"/>
          <w:szCs w:val="32"/>
          <w:highlight w:val="none"/>
          <w:lang w:val="en-US" w:eastAsia="zh-CN"/>
        </w:rPr>
        <w:t>4</w:t>
      </w:r>
      <w:r>
        <w:rPr>
          <w:rFonts w:hint="eastAsia" w:ascii="仿宋_GB2312" w:hAnsi="仿宋_GB2312" w:eastAsia="仿宋_GB2312" w:cs="仿宋_GB2312"/>
          <w:color w:val="000000"/>
          <w:sz w:val="32"/>
          <w:szCs w:val="32"/>
          <w:highlight w:val="none"/>
        </w:rPr>
        <w:t>个基建项目</w:t>
      </w:r>
      <w:r>
        <w:rPr>
          <w:rFonts w:hint="eastAsia" w:ascii="仿宋_GB2312" w:hAnsi="仿宋_GB2312" w:eastAsia="仿宋_GB2312" w:cs="仿宋_GB2312"/>
          <w:color w:val="000000"/>
          <w:sz w:val="32"/>
          <w:szCs w:val="32"/>
          <w:highlight w:val="none"/>
          <w:lang w:eastAsia="zh-CN"/>
        </w:rPr>
        <w:t>付工程尾款</w:t>
      </w:r>
      <w:r>
        <w:rPr>
          <w:rFonts w:hint="eastAsia" w:ascii="仿宋_GB2312" w:hAnsi="仿宋_GB2312" w:eastAsia="仿宋_GB2312" w:cs="仿宋_GB2312"/>
          <w:color w:val="000000"/>
          <w:sz w:val="32"/>
          <w:szCs w:val="32"/>
          <w:highlight w:val="none"/>
        </w:rPr>
        <w:t>。</w:t>
      </w:r>
    </w:p>
    <w:p>
      <w:pPr>
        <w:spacing w:line="520" w:lineRule="exact"/>
        <w:ind w:firstLine="627" w:firstLineChars="196"/>
        <w:rPr>
          <w:rFonts w:ascii="楷体_GB2312" w:hAnsi="楷体_GB2312" w:eastAsia="楷体_GB2312" w:cs="楷体_GB2312"/>
          <w:bCs/>
          <w:color w:val="000000"/>
          <w:sz w:val="32"/>
          <w:szCs w:val="32"/>
          <w:highlight w:val="none"/>
        </w:rPr>
      </w:pPr>
      <w:r>
        <w:rPr>
          <w:rFonts w:hint="eastAsia" w:ascii="楷体_GB2312" w:hAnsi="楷体_GB2312" w:eastAsia="楷体_GB2312" w:cs="楷体_GB2312"/>
          <w:bCs/>
          <w:color w:val="000000"/>
          <w:sz w:val="32"/>
          <w:szCs w:val="32"/>
          <w:highlight w:val="none"/>
        </w:rPr>
        <w:t>（八）关于</w:t>
      </w:r>
      <w:r>
        <w:rPr>
          <w:rFonts w:ascii="楷体_GB2312" w:hAnsi="楷体_GB2312" w:eastAsia="楷体_GB2312" w:cs="楷体_GB2312"/>
          <w:bCs/>
          <w:color w:val="000000"/>
          <w:sz w:val="32"/>
          <w:szCs w:val="32"/>
          <w:highlight w:val="none"/>
        </w:rPr>
        <w:t>缙云县教育局2024</w:t>
      </w:r>
      <w:r>
        <w:rPr>
          <w:rFonts w:hint="eastAsia" w:ascii="楷体_GB2312" w:hAnsi="楷体_GB2312" w:eastAsia="楷体_GB2312" w:cs="楷体_GB2312"/>
          <w:bCs/>
          <w:color w:val="000000"/>
          <w:sz w:val="32"/>
          <w:szCs w:val="32"/>
          <w:highlight w:val="none"/>
        </w:rPr>
        <w:t>年国有资本经营预算支出情况说明</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textAlignment w:val="auto"/>
        <w:rPr>
          <w:b/>
          <w:sz w:val="20"/>
          <w:highlight w:val="none"/>
        </w:rPr>
      </w:pPr>
      <w:r>
        <w:rPr>
          <w:rFonts w:hint="eastAsia" w:ascii="仿宋_GB2312" w:hAnsi="仿宋_GB2312" w:eastAsia="仿宋_GB2312" w:cs="仿宋_GB2312"/>
          <w:color w:val="000000"/>
          <w:sz w:val="32"/>
          <w:szCs w:val="32"/>
          <w:highlight w:val="none"/>
        </w:rPr>
        <w:t>缙云县教育局2024年没有使用国有资本经营预算拨款安排的支出</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sz w:val="32"/>
          <w:shd w:val="clear" w:color="auto" w:fill="FFFFFF"/>
          <w:lang w:val="en-US" w:eastAsia="zh-CN"/>
        </w:rPr>
        <w:t>与</w:t>
      </w:r>
      <w:r>
        <w:rPr>
          <w:rFonts w:hint="eastAsia" w:ascii="仿宋_GB2312" w:hAnsi="仿宋_GB2312" w:eastAsia="仿宋_GB2312"/>
          <w:sz w:val="32"/>
          <w:shd w:val="clear" w:color="auto" w:fill="FFFFFF"/>
        </w:rPr>
        <w:t>上年</w:t>
      </w:r>
      <w:r>
        <w:rPr>
          <w:rFonts w:hint="eastAsia" w:ascii="仿宋_GB2312" w:hAnsi="仿宋_GB2312" w:eastAsia="仿宋_GB2312"/>
          <w:sz w:val="32"/>
          <w:shd w:val="clear" w:color="auto" w:fill="FFFFFF"/>
          <w:lang w:val="en-US" w:eastAsia="zh-CN"/>
        </w:rPr>
        <w:t>持平</w:t>
      </w:r>
      <w:r>
        <w:rPr>
          <w:rFonts w:hint="eastAsia" w:ascii="仿宋_GB2312" w:hAnsi="仿宋_GB2312" w:eastAsia="仿宋_GB2312" w:cs="仿宋_GB2312"/>
          <w:color w:val="000000"/>
          <w:sz w:val="32"/>
          <w:szCs w:val="32"/>
          <w:highlight w:val="none"/>
        </w:rPr>
        <w:t>。</w:t>
      </w:r>
    </w:p>
    <w:p>
      <w:pPr>
        <w:spacing w:line="520" w:lineRule="exact"/>
        <w:ind w:firstLine="627" w:firstLineChars="196"/>
        <w:rPr>
          <w:rFonts w:ascii="楷体_GB2312" w:hAnsi="楷体_GB2312" w:eastAsia="楷体_GB2312" w:cs="楷体_GB2312"/>
          <w:bCs/>
          <w:color w:val="000000"/>
          <w:sz w:val="32"/>
          <w:szCs w:val="32"/>
          <w:highlight w:val="none"/>
        </w:rPr>
      </w:pPr>
      <w:r>
        <w:rPr>
          <w:rFonts w:hint="eastAsia" w:ascii="楷体_GB2312" w:hAnsi="楷体_GB2312" w:eastAsia="楷体_GB2312" w:cs="楷体_GB2312"/>
          <w:bCs/>
          <w:color w:val="000000"/>
          <w:sz w:val="32"/>
          <w:szCs w:val="32"/>
          <w:highlight w:val="none"/>
        </w:rPr>
        <w:t>（九）关于缙云县教育局2024年</w:t>
      </w:r>
      <w:r>
        <w:rPr>
          <w:rFonts w:hint="eastAsia" w:ascii="楷体_GB2312" w:hAnsi="楷体_GB2312" w:eastAsia="楷体_GB2312" w:cs="楷体_GB2312"/>
          <w:bCs/>
          <w:sz w:val="32"/>
          <w:szCs w:val="32"/>
          <w:highlight w:val="none"/>
        </w:rPr>
        <w:t>一般公共预算</w:t>
      </w:r>
      <w:r>
        <w:rPr>
          <w:rFonts w:hint="eastAsia" w:ascii="楷体_GB2312" w:hAnsi="楷体_GB2312" w:eastAsia="楷体_GB2312" w:cs="楷体_GB2312"/>
          <w:bCs/>
          <w:color w:val="000000"/>
          <w:sz w:val="32"/>
          <w:szCs w:val="32"/>
          <w:highlight w:val="none"/>
        </w:rPr>
        <w:t>“三公”经费预算情况说明</w:t>
      </w:r>
    </w:p>
    <w:p>
      <w:pPr>
        <w:spacing w:line="520" w:lineRule="exact"/>
        <w:ind w:firstLine="640" w:firstLineChars="200"/>
        <w:rPr>
          <w:rFonts w:ascii="仿宋_GB2312" w:hAnsi="仿宋_GB2312" w:eastAsia="仿宋_GB2312"/>
          <w:sz w:val="32"/>
          <w:highlight w:val="none"/>
        </w:rPr>
      </w:pPr>
      <w:r>
        <w:rPr>
          <w:rFonts w:hint="eastAsia" w:ascii="仿宋_GB2312" w:hAnsi="仿宋_GB2312" w:eastAsia="仿宋_GB2312"/>
          <w:sz w:val="32"/>
          <w:highlight w:val="none"/>
        </w:rPr>
        <w:t>缙云县教育局2024年“三公”经费预算数为9.18万元，</w:t>
      </w:r>
      <w:r>
        <w:rPr>
          <w:rFonts w:hint="eastAsia" w:ascii="仿宋_GB2312" w:hAnsi="仿宋_GB2312" w:eastAsia="仿宋_GB2312"/>
          <w:sz w:val="32"/>
          <w:highlight w:val="none"/>
          <w:lang w:eastAsia="zh-CN"/>
        </w:rPr>
        <w:t>与</w:t>
      </w:r>
      <w:r>
        <w:rPr>
          <w:rFonts w:hint="eastAsia" w:ascii="仿宋_GB2312" w:hAnsi="仿宋_GB2312" w:eastAsia="仿宋_GB2312"/>
          <w:sz w:val="32"/>
          <w:highlight w:val="none"/>
          <w:shd w:val="clear" w:color="auto" w:fill="FFFFFF"/>
        </w:rPr>
        <w:t>上年预算数</w:t>
      </w:r>
      <w:r>
        <w:rPr>
          <w:rFonts w:hint="eastAsia" w:ascii="仿宋_GB2312" w:hAnsi="仿宋_GB2312" w:eastAsia="仿宋_GB2312"/>
          <w:sz w:val="32"/>
          <w:highlight w:val="none"/>
          <w:shd w:val="clear" w:color="auto" w:fill="FFFFFF"/>
          <w:lang w:eastAsia="zh-CN"/>
        </w:rPr>
        <w:t>持平</w:t>
      </w:r>
      <w:r>
        <w:rPr>
          <w:rFonts w:hint="eastAsia" w:ascii="仿宋_GB2312" w:hAnsi="仿宋_GB2312" w:eastAsia="仿宋_GB2312"/>
          <w:sz w:val="32"/>
          <w:highlight w:val="none"/>
        </w:rPr>
        <w:t>，具体如下：</w:t>
      </w:r>
    </w:p>
    <w:p>
      <w:pPr>
        <w:spacing w:line="520" w:lineRule="exact"/>
        <w:ind w:firstLine="640" w:firstLineChars="200"/>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1.因公出国（境）费用：</w:t>
      </w:r>
      <w:r>
        <w:rPr>
          <w:rFonts w:hint="eastAsia" w:ascii="仿宋_GB2312" w:hAnsi="仿宋_GB2312" w:eastAsia="仿宋_GB2312" w:cs="仿宋_GB2312"/>
          <w:sz w:val="32"/>
          <w:szCs w:val="32"/>
          <w:highlight w:val="none"/>
        </w:rPr>
        <w:t>根据因公出国计划和实际工作需要，202</w:t>
      </w:r>
      <w:r>
        <w:rPr>
          <w:rFonts w:hint="eastAsia" w:ascii="仿宋_GB2312" w:hAnsi="仿宋_GB2312" w:eastAsia="仿宋_GB2312" w:cs="仿宋_GB2312"/>
          <w:sz w:val="32"/>
          <w:szCs w:val="32"/>
          <w:highlight w:val="none"/>
          <w:lang w:val="en-US" w:eastAsia="zh-CN"/>
        </w:rPr>
        <w:t>4</w:t>
      </w:r>
      <w:r>
        <w:rPr>
          <w:rFonts w:hint="eastAsia" w:ascii="仿宋_GB2312" w:hAnsi="仿宋_GB2312" w:eastAsia="仿宋_GB2312" w:cs="仿宋_GB2312"/>
          <w:sz w:val="32"/>
          <w:szCs w:val="32"/>
          <w:highlight w:val="none"/>
        </w:rPr>
        <w:t>年安排因公出国（境）费用预算0万元，与上年</w:t>
      </w:r>
      <w:r>
        <w:rPr>
          <w:rFonts w:hint="eastAsia" w:ascii="仿宋_GB2312" w:hAnsi="仿宋_GB2312" w:eastAsia="仿宋_GB2312" w:cs="仿宋_GB2312"/>
          <w:sz w:val="32"/>
          <w:szCs w:val="32"/>
          <w:highlight w:val="none"/>
          <w:lang w:eastAsia="zh-CN"/>
        </w:rPr>
        <w:t>预算</w:t>
      </w:r>
      <w:r>
        <w:rPr>
          <w:rFonts w:hint="eastAsia" w:ascii="仿宋_GB2312" w:hAnsi="仿宋_GB2312" w:eastAsia="仿宋_GB2312" w:cs="仿宋_GB2312"/>
          <w:sz w:val="32"/>
          <w:szCs w:val="32"/>
          <w:highlight w:val="none"/>
        </w:rPr>
        <w:t>数持平。持平的原因是本单位202</w:t>
      </w: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rPr>
        <w:t>年以及202</w:t>
      </w:r>
      <w:r>
        <w:rPr>
          <w:rFonts w:hint="eastAsia" w:ascii="仿宋_GB2312" w:hAnsi="仿宋_GB2312" w:eastAsia="仿宋_GB2312" w:cs="仿宋_GB2312"/>
          <w:sz w:val="32"/>
          <w:szCs w:val="32"/>
          <w:highlight w:val="none"/>
          <w:lang w:val="en-US" w:eastAsia="zh-CN"/>
        </w:rPr>
        <w:t>4</w:t>
      </w:r>
      <w:r>
        <w:rPr>
          <w:rFonts w:hint="eastAsia" w:ascii="仿宋_GB2312" w:hAnsi="仿宋_GB2312" w:eastAsia="仿宋_GB2312" w:cs="仿宋_GB2312"/>
          <w:sz w:val="32"/>
          <w:szCs w:val="32"/>
          <w:highlight w:val="none"/>
        </w:rPr>
        <w:t>年无因公出国(境）事项。经批准同意安排因公出国（境）的，所需费用由财政按实追加单位年度“三公”经费预算额。</w:t>
      </w:r>
    </w:p>
    <w:p>
      <w:pPr>
        <w:spacing w:line="52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公务接待费：2024年安排公务接待费预算9.18万元，与上年预算数持平。主要用于接待局机关和全系统各单位的上级单位调研指导、国内及省内各地市兄弟单位与我系统学校交流、各类教学和科研业务活动和各类项目评审、评选及验收专家、教育结对帮扶等等公务活动接待支出。</w:t>
      </w:r>
      <w:r>
        <w:rPr>
          <w:rFonts w:hint="eastAsia" w:ascii="仿宋_GB2312" w:hAnsi="仿宋_GB2312" w:eastAsia="仿宋_GB2312" w:cs="仿宋_GB2312"/>
          <w:sz w:val="32"/>
          <w:szCs w:val="32"/>
        </w:rPr>
        <w:t>持平的主要原因是厉行节约，习惯过紧日子。</w:t>
      </w:r>
    </w:p>
    <w:p>
      <w:pPr>
        <w:pStyle w:val="14"/>
        <w:keepNext w:val="0"/>
        <w:keepLines w:val="0"/>
        <w:pageBreakBefore w:val="0"/>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ascii="仿宋_GB2312" w:eastAsia="仿宋_GB2312"/>
          <w:b/>
          <w:bCs/>
          <w:sz w:val="32"/>
          <w:szCs w:val="32"/>
          <w:highlight w:val="none"/>
        </w:rPr>
      </w:pPr>
      <w:r>
        <w:rPr>
          <w:rFonts w:hint="eastAsia" w:ascii="仿宋_GB2312" w:eastAsia="仿宋_GB2312"/>
          <w:sz w:val="32"/>
          <w:szCs w:val="32"/>
          <w:highlight w:val="none"/>
        </w:rPr>
        <w:t>3.公务用车购置及运行维护费：</w:t>
      </w:r>
      <w:r>
        <w:rPr>
          <w:rFonts w:hint="eastAsia" w:ascii="仿宋_GB2312" w:eastAsia="仿宋_GB2312"/>
          <w:sz w:val="32"/>
          <w:szCs w:val="32"/>
          <w:highlight w:val="none"/>
          <w:lang w:val="en-US" w:eastAsia="zh-CN"/>
        </w:rPr>
        <w:t>2024</w:t>
      </w:r>
      <w:r>
        <w:rPr>
          <w:rFonts w:hint="eastAsia" w:ascii="仿宋_GB2312" w:eastAsia="仿宋_GB2312"/>
          <w:sz w:val="32"/>
          <w:szCs w:val="32"/>
          <w:highlight w:val="none"/>
        </w:rPr>
        <w:t>年安排公务用车购置及运行</w:t>
      </w:r>
      <w:r>
        <w:rPr>
          <w:rFonts w:hint="eastAsia" w:ascii="仿宋_GB2312" w:eastAsia="仿宋_GB2312"/>
          <w:sz w:val="32"/>
          <w:szCs w:val="32"/>
          <w:highlight w:val="none"/>
          <w:lang w:eastAsia="zh-CN"/>
        </w:rPr>
        <w:t>维护</w:t>
      </w:r>
      <w:r>
        <w:rPr>
          <w:rFonts w:hint="eastAsia" w:ascii="仿宋_GB2312" w:eastAsia="仿宋_GB2312"/>
          <w:sz w:val="32"/>
          <w:szCs w:val="32"/>
          <w:highlight w:val="none"/>
        </w:rPr>
        <w:t>费预算</w:t>
      </w:r>
      <w:r>
        <w:rPr>
          <w:rFonts w:hint="eastAsia" w:ascii="仿宋_GB2312" w:eastAsia="仿宋_GB2312"/>
          <w:color w:val="000000"/>
          <w:sz w:val="32"/>
          <w:szCs w:val="32"/>
          <w:highlight w:val="none"/>
          <w:lang w:val="en-US" w:eastAsia="zh-CN"/>
        </w:rPr>
        <w:t>0</w:t>
      </w:r>
      <w:r>
        <w:rPr>
          <w:rFonts w:hint="eastAsia" w:ascii="仿宋_GB2312" w:eastAsia="仿宋_GB2312"/>
          <w:sz w:val="32"/>
          <w:szCs w:val="32"/>
          <w:highlight w:val="none"/>
        </w:rPr>
        <w:t>万元，与上年</w:t>
      </w:r>
      <w:r>
        <w:rPr>
          <w:rFonts w:hint="eastAsia" w:ascii="仿宋_GB2312" w:eastAsia="仿宋_GB2312"/>
          <w:sz w:val="32"/>
          <w:szCs w:val="32"/>
          <w:highlight w:val="none"/>
          <w:lang w:eastAsia="zh-CN"/>
        </w:rPr>
        <w:t>预算</w:t>
      </w:r>
      <w:r>
        <w:rPr>
          <w:rFonts w:hint="eastAsia" w:ascii="仿宋_GB2312" w:eastAsia="仿宋_GB2312"/>
          <w:sz w:val="32"/>
          <w:szCs w:val="32"/>
          <w:highlight w:val="none"/>
        </w:rPr>
        <w:t>数持平。其中，公务用车购置支出</w:t>
      </w:r>
      <w:r>
        <w:rPr>
          <w:rFonts w:hint="eastAsia" w:ascii="仿宋_GB2312" w:eastAsia="仿宋_GB2312"/>
          <w:color w:val="000000"/>
          <w:sz w:val="32"/>
          <w:szCs w:val="32"/>
          <w:highlight w:val="none"/>
          <w:lang w:val="en-US" w:eastAsia="zh-CN"/>
        </w:rPr>
        <w:t>0</w:t>
      </w:r>
      <w:r>
        <w:rPr>
          <w:rFonts w:hint="eastAsia" w:ascii="仿宋_GB2312" w:eastAsia="仿宋_GB2312"/>
          <w:sz w:val="32"/>
          <w:szCs w:val="32"/>
          <w:highlight w:val="none"/>
        </w:rPr>
        <w:t>万元（含购置税等附加费用），与上年</w:t>
      </w:r>
      <w:r>
        <w:rPr>
          <w:rFonts w:hint="eastAsia" w:ascii="仿宋_GB2312" w:eastAsia="仿宋_GB2312"/>
          <w:sz w:val="32"/>
          <w:szCs w:val="32"/>
          <w:highlight w:val="none"/>
          <w:lang w:eastAsia="zh-CN"/>
        </w:rPr>
        <w:t>预算</w:t>
      </w:r>
      <w:r>
        <w:rPr>
          <w:rFonts w:hint="eastAsia" w:ascii="仿宋_GB2312" w:eastAsia="仿宋_GB2312"/>
          <w:sz w:val="32"/>
          <w:szCs w:val="32"/>
          <w:highlight w:val="none"/>
        </w:rPr>
        <w:t>数持平</w:t>
      </w:r>
      <w:r>
        <w:rPr>
          <w:rFonts w:hint="eastAsia" w:ascii="仿宋_GB2312" w:eastAsia="仿宋_GB2312"/>
          <w:sz w:val="32"/>
          <w:szCs w:val="32"/>
          <w:highlight w:val="none"/>
          <w:lang w:val="en-US" w:eastAsia="zh-CN"/>
        </w:rPr>
        <w:t>，持平的原因是车改后本单位未增加车辆</w:t>
      </w:r>
      <w:r>
        <w:rPr>
          <w:rFonts w:hint="eastAsia" w:ascii="仿宋_GB2312" w:eastAsia="仿宋_GB2312"/>
          <w:sz w:val="32"/>
          <w:szCs w:val="32"/>
          <w:highlight w:val="none"/>
        </w:rPr>
        <w:t>；公务用车运行</w:t>
      </w:r>
      <w:r>
        <w:rPr>
          <w:rFonts w:hint="eastAsia" w:ascii="仿宋_GB2312" w:eastAsia="仿宋_GB2312"/>
          <w:sz w:val="32"/>
          <w:szCs w:val="32"/>
          <w:highlight w:val="none"/>
          <w:lang w:eastAsia="zh-CN"/>
        </w:rPr>
        <w:t>维护</w:t>
      </w:r>
      <w:r>
        <w:rPr>
          <w:rFonts w:hint="eastAsia" w:ascii="仿宋_GB2312" w:eastAsia="仿宋_GB2312"/>
          <w:sz w:val="32"/>
          <w:szCs w:val="32"/>
          <w:highlight w:val="none"/>
        </w:rPr>
        <w:t>费支出</w:t>
      </w:r>
      <w:r>
        <w:rPr>
          <w:rFonts w:hint="eastAsia" w:ascii="仿宋_GB2312" w:eastAsia="仿宋_GB2312"/>
          <w:color w:val="000000"/>
          <w:sz w:val="32"/>
          <w:szCs w:val="32"/>
          <w:highlight w:val="none"/>
          <w:lang w:val="en-US" w:eastAsia="zh-CN"/>
        </w:rPr>
        <w:t>0</w:t>
      </w:r>
      <w:r>
        <w:rPr>
          <w:rFonts w:hint="eastAsia" w:ascii="仿宋_GB2312" w:eastAsia="仿宋_GB2312"/>
          <w:sz w:val="32"/>
          <w:szCs w:val="32"/>
          <w:highlight w:val="none"/>
        </w:rPr>
        <w:t>万元</w:t>
      </w:r>
      <w:r>
        <w:rPr>
          <w:rFonts w:hint="eastAsia" w:ascii="仿宋_GB2312" w:eastAsia="仿宋_GB2312"/>
          <w:sz w:val="32"/>
          <w:szCs w:val="32"/>
          <w:highlight w:val="none"/>
          <w:lang w:eastAsia="zh-CN"/>
        </w:rPr>
        <w:t>，与上年预算数持平</w:t>
      </w:r>
      <w:r>
        <w:rPr>
          <w:rFonts w:hint="eastAsia" w:ascii="仿宋_GB2312" w:eastAsia="仿宋_GB2312"/>
          <w:b w:val="0"/>
          <w:bCs w:val="0"/>
          <w:sz w:val="32"/>
          <w:szCs w:val="32"/>
          <w:highlight w:val="none"/>
          <w:lang w:val="en-US" w:eastAsia="zh-CN"/>
        </w:rPr>
        <w:t>，持平的</w:t>
      </w:r>
      <w:r>
        <w:rPr>
          <w:rFonts w:hint="eastAsia" w:ascii="仿宋_GB2312" w:eastAsia="仿宋_GB2312"/>
          <w:b w:val="0"/>
          <w:bCs w:val="0"/>
          <w:sz w:val="32"/>
          <w:szCs w:val="32"/>
          <w:highlight w:val="none"/>
          <w:lang w:eastAsia="zh-CN"/>
        </w:rPr>
        <w:t>主要原因是我单位</w:t>
      </w:r>
      <w:r>
        <w:rPr>
          <w:rFonts w:hint="eastAsia" w:ascii="仿宋_GB2312" w:eastAsia="仿宋_GB2312"/>
          <w:b w:val="0"/>
          <w:bCs w:val="0"/>
          <w:sz w:val="32"/>
          <w:szCs w:val="32"/>
          <w:highlight w:val="none"/>
          <w:lang w:val="en-US" w:eastAsia="zh-CN"/>
        </w:rPr>
        <w:t>没有</w:t>
      </w:r>
      <w:r>
        <w:rPr>
          <w:rFonts w:hint="eastAsia" w:ascii="仿宋_GB2312" w:eastAsia="仿宋_GB2312"/>
          <w:b w:val="0"/>
          <w:bCs w:val="0"/>
          <w:sz w:val="32"/>
          <w:szCs w:val="32"/>
          <w:highlight w:val="none"/>
          <w:lang w:eastAsia="zh-CN"/>
        </w:rPr>
        <w:t>公务用车。</w:t>
      </w:r>
    </w:p>
    <w:p>
      <w:pPr>
        <w:spacing w:line="520" w:lineRule="exact"/>
        <w:ind w:firstLine="627" w:firstLineChars="196"/>
        <w:rPr>
          <w:rFonts w:ascii="楷体_GB2312" w:hAnsi="楷体_GB2312" w:eastAsia="楷体_GB2312" w:cs="楷体_GB2312"/>
          <w:bCs/>
          <w:sz w:val="32"/>
          <w:szCs w:val="32"/>
          <w:highlight w:val="none"/>
        </w:rPr>
      </w:pPr>
      <w:r>
        <w:rPr>
          <w:rFonts w:hint="eastAsia" w:ascii="楷体_GB2312" w:hAnsi="楷体_GB2312" w:eastAsia="楷体_GB2312" w:cs="楷体_GB2312"/>
          <w:bCs/>
          <w:sz w:val="32"/>
          <w:szCs w:val="32"/>
          <w:highlight w:val="none"/>
        </w:rPr>
        <w:t>（十）其他重要事项的情况说明</w:t>
      </w:r>
    </w:p>
    <w:p>
      <w:pPr>
        <w:spacing w:line="520" w:lineRule="exact"/>
        <w:ind w:firstLine="642"/>
        <w:rPr>
          <w:rFonts w:ascii="仿宋_GB2312" w:hAnsi="仿宋_GB2312" w:eastAsia="仿宋_GB2312" w:cs="仿宋_GB2312"/>
          <w:b/>
          <w:color w:val="000000"/>
          <w:sz w:val="32"/>
          <w:szCs w:val="32"/>
          <w:highlight w:val="none"/>
        </w:rPr>
      </w:pPr>
      <w:r>
        <w:rPr>
          <w:rFonts w:hint="eastAsia" w:ascii="仿宋_GB2312" w:hAnsi="仿宋_GB2312" w:eastAsia="仿宋_GB2312" w:cs="仿宋_GB2312"/>
          <w:b/>
          <w:color w:val="000000"/>
          <w:sz w:val="32"/>
          <w:szCs w:val="32"/>
          <w:highlight w:val="none"/>
        </w:rPr>
        <w:t>1.机关运行经费。</w:t>
      </w:r>
    </w:p>
    <w:p>
      <w:pPr>
        <w:pStyle w:val="14"/>
        <w:spacing w:line="52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2024年缙云县教育局</w:t>
      </w:r>
      <w:r>
        <w:rPr>
          <w:rFonts w:hint="eastAsia" w:ascii="仿宋_GB2312" w:hAnsi="仿宋_GB2312" w:eastAsia="仿宋_GB2312" w:cs="仿宋_GB2312"/>
          <w:spacing w:val="6"/>
          <w:sz w:val="32"/>
          <w:szCs w:val="32"/>
          <w:highlight w:val="none"/>
        </w:rPr>
        <w:t>（本级）</w:t>
      </w:r>
      <w:r>
        <w:rPr>
          <w:rFonts w:hint="eastAsia" w:ascii="仿宋_GB2312" w:eastAsia="仿宋_GB2312"/>
          <w:color w:val="000000"/>
          <w:sz w:val="32"/>
          <w:szCs w:val="32"/>
          <w:highlight w:val="none"/>
          <w:lang w:val="en-US" w:eastAsia="zh-CN"/>
        </w:rPr>
        <w:t>1</w:t>
      </w:r>
      <w:r>
        <w:rPr>
          <w:rFonts w:hint="eastAsia" w:ascii="仿宋_GB2312" w:eastAsia="仿宋_GB2312"/>
          <w:color w:val="000000"/>
          <w:sz w:val="32"/>
          <w:szCs w:val="32"/>
          <w:highlight w:val="none"/>
        </w:rPr>
        <w:t>家行政单位的机关运行经费财政拨款预算350.98万元，比上年预算减少</w:t>
      </w:r>
      <w:r>
        <w:rPr>
          <w:rFonts w:hint="eastAsia" w:ascii="仿宋_GB2312" w:eastAsia="仿宋_GB2312"/>
          <w:color w:val="000000"/>
          <w:sz w:val="32"/>
          <w:szCs w:val="32"/>
          <w:highlight w:val="none"/>
          <w:lang w:val="en-US" w:eastAsia="zh-CN"/>
        </w:rPr>
        <w:t>33.99</w:t>
      </w:r>
      <w:r>
        <w:rPr>
          <w:rFonts w:hint="eastAsia" w:ascii="仿宋_GB2312" w:eastAsia="仿宋_GB2312"/>
          <w:sz w:val="32"/>
          <w:szCs w:val="32"/>
          <w:highlight w:val="none"/>
        </w:rPr>
        <w:t>万元</w:t>
      </w:r>
      <w:r>
        <w:rPr>
          <w:rFonts w:hint="eastAsia" w:ascii="仿宋_GB2312" w:hAnsi="仿宋_GB2312" w:eastAsia="仿宋_GB2312"/>
          <w:kern w:val="2"/>
          <w:sz w:val="32"/>
          <w:szCs w:val="20"/>
          <w:highlight w:val="none"/>
        </w:rPr>
        <w:t>，下降</w:t>
      </w:r>
      <w:r>
        <w:rPr>
          <w:rFonts w:hint="eastAsia" w:ascii="仿宋_GB2312" w:hAnsi="仿宋_GB2312" w:eastAsia="仿宋_GB2312"/>
          <w:kern w:val="2"/>
          <w:sz w:val="32"/>
          <w:szCs w:val="20"/>
          <w:highlight w:val="none"/>
          <w:lang w:val="en-US" w:eastAsia="zh-CN"/>
        </w:rPr>
        <w:t>8.83</w:t>
      </w:r>
      <w:r>
        <w:rPr>
          <w:rFonts w:hint="eastAsia" w:ascii="仿宋_GB2312" w:hAnsi="仿宋_GB2312" w:eastAsia="仿宋_GB2312"/>
          <w:kern w:val="2"/>
          <w:sz w:val="32"/>
          <w:szCs w:val="20"/>
          <w:highlight w:val="none"/>
        </w:rPr>
        <w:t>%，主要是局机关</w:t>
      </w:r>
      <w:r>
        <w:rPr>
          <w:rFonts w:hint="eastAsia" w:ascii="仿宋_GB2312" w:hAnsi="仿宋_GB2312" w:eastAsia="仿宋_GB2312"/>
          <w:kern w:val="2"/>
          <w:sz w:val="32"/>
          <w:szCs w:val="20"/>
          <w:highlight w:val="none"/>
          <w:lang w:eastAsia="zh-CN"/>
        </w:rPr>
        <w:t>在职在编人员减少</w:t>
      </w:r>
      <w:r>
        <w:rPr>
          <w:rFonts w:hint="eastAsia" w:ascii="仿宋_GB2312" w:eastAsia="仿宋_GB2312"/>
          <w:color w:val="000000"/>
          <w:sz w:val="32"/>
          <w:szCs w:val="32"/>
          <w:highlight w:val="none"/>
        </w:rPr>
        <w:t>。</w:t>
      </w:r>
    </w:p>
    <w:p>
      <w:pPr>
        <w:pStyle w:val="14"/>
        <w:numPr>
          <w:ilvl w:val="0"/>
          <w:numId w:val="2"/>
        </w:numPr>
        <w:spacing w:line="520" w:lineRule="exact"/>
        <w:ind w:firstLine="600"/>
        <w:rPr>
          <w:rFonts w:ascii="仿宋_GB2312" w:eastAsia="仿宋_GB2312"/>
          <w:b/>
          <w:bCs/>
          <w:sz w:val="32"/>
          <w:szCs w:val="32"/>
          <w:highlight w:val="none"/>
        </w:rPr>
      </w:pPr>
      <w:r>
        <w:rPr>
          <w:rFonts w:hint="eastAsia" w:ascii="仿宋_GB2312" w:eastAsia="仿宋_GB2312"/>
          <w:b/>
          <w:bCs/>
          <w:sz w:val="32"/>
          <w:szCs w:val="32"/>
          <w:highlight w:val="none"/>
        </w:rPr>
        <w:t>政府采购情况。</w:t>
      </w:r>
    </w:p>
    <w:p>
      <w:pPr>
        <w:pStyle w:val="14"/>
        <w:spacing w:line="52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2024年缙云县教育局</w:t>
      </w:r>
      <w:r>
        <w:rPr>
          <w:rFonts w:hint="eastAsia" w:ascii="仿宋_GB2312" w:eastAsia="仿宋_GB2312"/>
          <w:color w:val="000000"/>
          <w:sz w:val="32"/>
          <w:szCs w:val="32"/>
          <w:highlight w:val="none"/>
        </w:rPr>
        <w:t>政府采购预算总额</w:t>
      </w:r>
      <w:r>
        <w:rPr>
          <w:rFonts w:ascii="仿宋_GB2312" w:eastAsia="仿宋_GB2312"/>
          <w:color w:val="000000"/>
          <w:sz w:val="32"/>
          <w:szCs w:val="32"/>
          <w:highlight w:val="none"/>
        </w:rPr>
        <w:t>0.00</w:t>
      </w:r>
      <w:r>
        <w:rPr>
          <w:rFonts w:hint="eastAsia" w:ascii="仿宋_GB2312" w:eastAsia="仿宋_GB2312"/>
          <w:color w:val="000000"/>
          <w:sz w:val="32"/>
          <w:szCs w:val="32"/>
          <w:highlight w:val="none"/>
        </w:rPr>
        <w:t>万元，其中：政府采购货物预算0.00万元、政府采购工程预算0.00万元、政府采购服务预算</w:t>
      </w:r>
      <w:r>
        <w:rPr>
          <w:rFonts w:ascii="仿宋_GB2312" w:eastAsia="仿宋_GB2312"/>
          <w:color w:val="000000"/>
          <w:sz w:val="32"/>
          <w:szCs w:val="32"/>
          <w:highlight w:val="none"/>
        </w:rPr>
        <w:t>0.00</w:t>
      </w:r>
      <w:r>
        <w:rPr>
          <w:rFonts w:hint="eastAsia" w:ascii="仿宋_GB2312" w:eastAsia="仿宋_GB2312"/>
          <w:color w:val="000000"/>
          <w:sz w:val="32"/>
          <w:szCs w:val="32"/>
          <w:highlight w:val="none"/>
        </w:rPr>
        <w:t>万元。</w:t>
      </w:r>
    </w:p>
    <w:p>
      <w:pPr>
        <w:pStyle w:val="14"/>
        <w:spacing w:line="520" w:lineRule="exact"/>
        <w:ind w:firstLine="642"/>
        <w:rPr>
          <w:rFonts w:ascii="仿宋_GB2312" w:eastAsia="仿宋_GB2312"/>
          <w:sz w:val="32"/>
          <w:szCs w:val="32"/>
          <w:highlight w:val="none"/>
        </w:rPr>
      </w:pPr>
      <w:r>
        <w:rPr>
          <w:rFonts w:hint="eastAsia" w:ascii="仿宋_GB2312" w:eastAsia="仿宋_GB2312"/>
          <w:b/>
          <w:bCs/>
          <w:sz w:val="32"/>
          <w:szCs w:val="32"/>
          <w:highlight w:val="none"/>
        </w:rPr>
        <w:t>3.国有资产占有使用情况。</w:t>
      </w:r>
    </w:p>
    <w:p>
      <w:pPr>
        <w:pStyle w:val="14"/>
        <w:spacing w:line="520" w:lineRule="exact"/>
        <w:ind w:firstLine="664" w:firstLineChars="200"/>
        <w:rPr>
          <w:rFonts w:hint="eastAsia" w:ascii="仿宋_GB2312" w:hAnsi="仿宋_GB2312" w:eastAsia="仿宋_GB2312" w:cs="仿宋_GB2312"/>
          <w:spacing w:val="6"/>
          <w:sz w:val="32"/>
          <w:szCs w:val="32"/>
          <w:highlight w:val="none"/>
        </w:rPr>
      </w:pPr>
      <w:r>
        <w:rPr>
          <w:rFonts w:hint="eastAsia" w:ascii="仿宋_GB2312" w:hAnsi="仿宋_GB2312" w:eastAsia="仿宋_GB2312" w:cs="仿宋_GB2312"/>
          <w:spacing w:val="6"/>
          <w:sz w:val="32"/>
          <w:szCs w:val="32"/>
          <w:highlight w:val="none"/>
        </w:rPr>
        <w:t>截至202</w:t>
      </w:r>
      <w:r>
        <w:rPr>
          <w:rFonts w:hint="eastAsia" w:ascii="仿宋_GB2312" w:hAnsi="仿宋_GB2312" w:eastAsia="仿宋_GB2312" w:cs="仿宋_GB2312"/>
          <w:spacing w:val="6"/>
          <w:sz w:val="32"/>
          <w:szCs w:val="32"/>
          <w:highlight w:val="none"/>
          <w:lang w:val="en-US" w:eastAsia="zh-CN"/>
        </w:rPr>
        <w:t>3</w:t>
      </w:r>
      <w:r>
        <w:rPr>
          <w:rFonts w:hint="eastAsia" w:ascii="仿宋_GB2312" w:hAnsi="仿宋_GB2312" w:eastAsia="仿宋_GB2312" w:cs="仿宋_GB2312"/>
          <w:spacing w:val="6"/>
          <w:sz w:val="32"/>
          <w:szCs w:val="32"/>
          <w:highlight w:val="none"/>
        </w:rPr>
        <w:t>年12月31日，缙云县教育局共有车辆0辆</w:t>
      </w:r>
      <w:r>
        <w:rPr>
          <w:rFonts w:hint="eastAsia" w:ascii="仿宋_GB2312" w:hAnsi="仿宋_GB2312" w:eastAsia="仿宋_GB2312" w:cs="仿宋_GB2312"/>
          <w:spacing w:val="6"/>
          <w:sz w:val="32"/>
          <w:szCs w:val="32"/>
          <w:highlight w:val="none"/>
          <w:lang w:eastAsia="zh-CN"/>
        </w:rPr>
        <w:t>，</w:t>
      </w:r>
      <w:r>
        <w:rPr>
          <w:rFonts w:hint="eastAsia" w:ascii="仿宋_GB2312" w:hAnsi="仿宋_GB2312" w:eastAsia="仿宋_GB2312" w:cs="仿宋_GB2312"/>
          <w:spacing w:val="6"/>
          <w:sz w:val="32"/>
          <w:szCs w:val="32"/>
          <w:highlight w:val="none"/>
        </w:rPr>
        <w:t>单位价值50万元以上通用设备0台（套），单位价值100万元以上专用设备0台（套）。</w:t>
      </w:r>
      <w:bookmarkStart w:id="0" w:name="_GoBack"/>
      <w:bookmarkEnd w:id="0"/>
    </w:p>
    <w:p>
      <w:pPr>
        <w:pStyle w:val="14"/>
        <w:spacing w:line="520" w:lineRule="exact"/>
        <w:ind w:firstLine="664" w:firstLineChars="200"/>
        <w:rPr>
          <w:rFonts w:hint="eastAsia" w:ascii="仿宋_GB2312" w:eastAsia="仿宋_GB2312"/>
          <w:b/>
          <w:bCs/>
          <w:sz w:val="32"/>
          <w:szCs w:val="32"/>
          <w:highlight w:val="none"/>
        </w:rPr>
      </w:pPr>
      <w:r>
        <w:rPr>
          <w:rFonts w:hint="eastAsia" w:ascii="仿宋_GB2312" w:hAnsi="仿宋_GB2312" w:eastAsia="仿宋_GB2312" w:cs="仿宋_GB2312"/>
          <w:spacing w:val="6"/>
          <w:sz w:val="32"/>
          <w:szCs w:val="32"/>
          <w:highlight w:val="none"/>
        </w:rPr>
        <w:t>202</w:t>
      </w:r>
      <w:r>
        <w:rPr>
          <w:rFonts w:hint="eastAsia" w:ascii="仿宋_GB2312" w:hAnsi="仿宋_GB2312" w:eastAsia="仿宋_GB2312" w:cs="仿宋_GB2312"/>
          <w:spacing w:val="6"/>
          <w:sz w:val="32"/>
          <w:szCs w:val="32"/>
          <w:highlight w:val="none"/>
          <w:lang w:val="en-US" w:eastAsia="zh-CN"/>
        </w:rPr>
        <w:t>4</w:t>
      </w:r>
      <w:r>
        <w:rPr>
          <w:rFonts w:hint="eastAsia" w:ascii="仿宋_GB2312" w:hAnsi="仿宋_GB2312" w:eastAsia="仿宋_GB2312" w:cs="仿宋_GB2312"/>
          <w:spacing w:val="6"/>
          <w:sz w:val="32"/>
          <w:szCs w:val="32"/>
          <w:highlight w:val="none"/>
        </w:rPr>
        <w:t>年单位预算未安排购置车辆、单位价值50万元以上通用设备及单位价值100万元以上专用设备。</w:t>
      </w:r>
      <w:r>
        <w:rPr>
          <w:rFonts w:hint="eastAsia" w:ascii="仿宋_GB2312" w:eastAsia="仿宋_GB2312"/>
          <w:b/>
          <w:bCs/>
          <w:sz w:val="32"/>
          <w:szCs w:val="32"/>
          <w:highlight w:val="none"/>
        </w:rPr>
        <w:t xml:space="preserve">    </w:t>
      </w:r>
    </w:p>
    <w:p>
      <w:pPr>
        <w:pStyle w:val="14"/>
        <w:spacing w:line="520" w:lineRule="exact"/>
        <w:ind w:firstLine="643" w:firstLineChars="200"/>
        <w:rPr>
          <w:rFonts w:ascii="仿宋_GB2312" w:eastAsia="仿宋_GB2312"/>
          <w:b/>
          <w:bCs/>
          <w:sz w:val="32"/>
          <w:szCs w:val="32"/>
          <w:highlight w:val="none"/>
        </w:rPr>
      </w:pPr>
      <w:r>
        <w:rPr>
          <w:rFonts w:hint="eastAsia" w:ascii="仿宋_GB2312" w:eastAsia="仿宋_GB2312"/>
          <w:b/>
          <w:bCs/>
          <w:sz w:val="32"/>
          <w:szCs w:val="32"/>
          <w:highlight w:val="none"/>
        </w:rPr>
        <w:t>4.预算绩效情况说明。</w:t>
      </w:r>
    </w:p>
    <w:p>
      <w:pPr>
        <w:ind w:firstLine="640" w:firstLineChars="200"/>
        <w:rPr>
          <w:rFonts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2024年缙云县教育局其他运转类项目和特定目标类项目均实行绩效目标管理，共计3个一级项目，涉及当年资金33247.37万元。同时，将按照相关制度规定开展绩效自评。一级项目绩效目标表，详见“</w:t>
      </w:r>
      <w:r>
        <w:rPr>
          <w:rFonts w:hint="eastAsia" w:ascii="仿宋_GB2312" w:hAnsi="仿宋_GB2312" w:eastAsia="仿宋_GB2312" w:cs="仿宋_GB2312"/>
          <w:sz w:val="32"/>
          <w:szCs w:val="32"/>
          <w:highlight w:val="none"/>
        </w:rPr>
        <w:t>单位</w:t>
      </w:r>
      <w:r>
        <w:rPr>
          <w:rFonts w:ascii="仿宋_GB2312" w:hAnsi="仿宋_GB2312" w:eastAsia="仿宋_GB2312" w:cs="仿宋_GB2312"/>
          <w:sz w:val="32"/>
          <w:szCs w:val="32"/>
          <w:highlight w:val="none"/>
        </w:rPr>
        <w:t>项目支出绩效表”</w:t>
      </w:r>
      <w:r>
        <w:rPr>
          <w:rFonts w:hint="eastAsia" w:ascii="仿宋_GB2312" w:hAnsi="仿宋_GB2312" w:eastAsia="仿宋_GB2312" w:cs="仿宋_GB2312"/>
          <w:sz w:val="32"/>
          <w:szCs w:val="32"/>
          <w:highlight w:val="none"/>
        </w:rPr>
        <w:t>。</w:t>
      </w:r>
    </w:p>
    <w:p>
      <w:pPr>
        <w:pStyle w:val="14"/>
        <w:spacing w:line="520" w:lineRule="exact"/>
        <w:ind w:firstLine="640" w:firstLineChars="200"/>
        <w:rPr>
          <w:rFonts w:ascii="黑体" w:hAnsi="黑体" w:eastAsia="黑体" w:cs="黑体"/>
          <w:bCs/>
          <w:kern w:val="2"/>
          <w:sz w:val="32"/>
          <w:szCs w:val="32"/>
          <w:highlight w:val="none"/>
        </w:rPr>
      </w:pPr>
      <w:r>
        <w:rPr>
          <w:rFonts w:hint="eastAsia" w:ascii="黑体" w:hAnsi="黑体" w:eastAsia="黑体" w:cs="黑体"/>
          <w:bCs/>
          <w:kern w:val="2"/>
          <w:sz w:val="32"/>
          <w:szCs w:val="32"/>
          <w:highlight w:val="none"/>
        </w:rPr>
        <w:t>三、名词解释</w:t>
      </w:r>
    </w:p>
    <w:p>
      <w:pPr>
        <w:spacing w:line="52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1.财政拨款收入：本级财政部门当年拨付的财政预算资金，包括一般公共预算财政拨款</w:t>
      </w:r>
      <w:r>
        <w:rPr>
          <w:rFonts w:hint="eastAsia" w:ascii="仿宋_GB2312" w:eastAsia="仿宋_GB2312"/>
          <w:color w:val="000000"/>
          <w:sz w:val="32"/>
          <w:szCs w:val="32"/>
          <w:highlight w:val="none"/>
        </w:rPr>
        <w:t>、</w:t>
      </w:r>
      <w:r>
        <w:rPr>
          <w:rFonts w:hint="eastAsia" w:ascii="仿宋_GB2312" w:hAnsi="仿宋_GB2312" w:eastAsia="仿宋_GB2312" w:cs="仿宋_GB2312"/>
          <w:sz w:val="32"/>
          <w:szCs w:val="32"/>
          <w:highlight w:val="none"/>
        </w:rPr>
        <w:t>政府性基金预算和国有资本经营预算财政拨款。</w:t>
      </w:r>
    </w:p>
    <w:p>
      <w:pPr>
        <w:spacing w:line="52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2.财政专户管理资金:教育收费作为本部门的事业收入，纳入财政专户管理的资金。</w:t>
      </w:r>
    </w:p>
    <w:p>
      <w:pPr>
        <w:spacing w:line="52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3.事业收入：事业单位开展专业业务活动及辅助活动所取得的收入，不含财政专户管理资金收入。</w:t>
      </w:r>
    </w:p>
    <w:p>
      <w:pPr>
        <w:spacing w:line="52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4.事业单位经营收入：事业单位在专业业务活动及辅助活动之外开展非独立核算经营活动取得的收入。</w:t>
      </w:r>
    </w:p>
    <w:p>
      <w:pPr>
        <w:spacing w:line="52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5.其他收入：预算单位在“一般公共预算”“政府性基金预算”“国有资本经营预算”“财政专户管理资金”“事业收入”“事业单位经营收入”“上级补助收入”和“附属单位上缴收入”等之外取得的各项收入。</w:t>
      </w:r>
    </w:p>
    <w:p>
      <w:pPr>
        <w:spacing w:line="52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6.上年结转：指以前年度尚未完成、结转到本年仍按原规定用途继续使用的资金。</w:t>
      </w:r>
    </w:p>
    <w:p>
      <w:pPr>
        <w:spacing w:line="52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7.基本支出：是预算单位为保障其正常运转，完成日常工作任务所发生的支出，包括人员支出和日常公用支出。</w:t>
      </w:r>
    </w:p>
    <w:p>
      <w:pPr>
        <w:spacing w:line="52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8.项目支出：是预算单位为完成其特定的行政工作任务或事业发展目标所发生的支出。</w:t>
      </w:r>
    </w:p>
    <w:p>
      <w:pPr>
        <w:spacing w:line="52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9.经营支出：指事业单位在专业业务活动及其辅助活动之外开展非独立核算经营活动发生的支出。</w:t>
      </w:r>
    </w:p>
    <w:p>
      <w:pPr>
        <w:spacing w:line="52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10.“三公”经费：纳入财政预决算管理的“三公”经费，是指部门用一般公共预算财政拨款安排的因公出国（境）费、公务用车购置及运行费和公务接待费。其中，因公出国（境）费反映单位公务出国（境）的国际旅费、国外城市间交通费、住宿费、伙食费、培训费、公杂费等支出，不含教学科研人员学术交流；公务用车购置及运行费反映单位公务用车车辆购置支出（含车辆购置税）及燃料费、维修费、过桥过路费、保险费、安全奖励费用等支出；公务接待费反映单位按规定开支的各类公务接待（含外宾接待）支出。</w:t>
      </w:r>
    </w:p>
    <w:p>
      <w:pPr>
        <w:spacing w:line="52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11.机关运行经费：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12. 教育（类）教育管理事务（款）行政运行（项）指反映行政单位（包括实行公务员管理的事业单位）的基本支出。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13.教育（类）教育管理事务（款）其他教育管理实务支出（项）指反映除行政运行、一般行政管理事务以外其他用于教育管理事务方面的支出。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14.教育（类）普通教育（款）学前教育（项）指各反映各单位举办的学前教育支出。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15.教育（类）普通教育（款）小学教育（项）指用反映各单位举办的小学教育支出。政府各单位对社会中介组织等举办的初级小学的资助。</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16.教育（类）普通教育（款）初中教育（项）指用反映各单位举办的初中教育支出和政府各单位对社会中介组织等举办的初级中学的资助。</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17.教育（类）普通教育（款）高中教育（项）指用反映各单位举办高级中学教育的支出和政府各单位对社会中介组织等举办的高级中学的资助。</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18.教育（类）普通教育（款）其他普通教育支出（项）指反映除学前、初中、高中教育以外其他用于普通教育方面的支出。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19.教育（类）职业教育（款）中等职业教育（项）指反映各单位（不含人力资源社会保障单位）举办的中等职业学校支出。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20.教育（类）进修及培训（款）教师进修（项）指反映教师进修、师资培训支出。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21.教育（类）教育费附加安排的支出（款）农村中小学教学设施（项）指反映教育费附加安排用于农村中小学校舍教学设施和办学条件的支出。</w:t>
      </w:r>
    </w:p>
    <w:p>
      <w:pPr>
        <w:pStyle w:val="2"/>
        <w:ind w:firstLine="640" w:firstLineChars="200"/>
        <w:rPr>
          <w:rFonts w:hint="eastAsia"/>
          <w:highlight w:val="none"/>
          <w:lang w:val="en-US" w:eastAsia="zh-CN"/>
        </w:rPr>
      </w:pPr>
      <w:r>
        <w:rPr>
          <w:rFonts w:hint="eastAsia" w:cs="仿宋_GB2312"/>
          <w:color w:val="000000"/>
          <w:sz w:val="32"/>
          <w:szCs w:val="32"/>
          <w:highlight w:val="none"/>
          <w:lang w:val="en-US" w:eastAsia="zh-CN"/>
        </w:rPr>
        <w:t>22.</w:t>
      </w:r>
      <w:r>
        <w:rPr>
          <w:rFonts w:hint="eastAsia" w:ascii="仿宋_GB2312" w:hAnsi="仿宋_GB2312" w:eastAsia="仿宋_GB2312" w:cs="仿宋_GB2312"/>
          <w:color w:val="000000"/>
          <w:sz w:val="32"/>
          <w:szCs w:val="32"/>
          <w:highlight w:val="none"/>
          <w:lang w:eastAsia="zh-CN"/>
        </w:rPr>
        <w:t>教育（类）教育费附加安排的支出（款）城市中小学校舍建设（项）</w:t>
      </w:r>
      <w:r>
        <w:rPr>
          <w:rFonts w:hint="eastAsia" w:cs="仿宋_GB2312"/>
          <w:color w:val="000000"/>
          <w:sz w:val="32"/>
          <w:szCs w:val="32"/>
          <w:highlight w:val="none"/>
          <w:lang w:eastAsia="zh-CN"/>
        </w:rPr>
        <w:t>指反映教育费附加安排用于城市中小学校舍新建、改建、修缮和维护的支出。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23.教育（类）教育费附加安排的支出（款）其他教育费附加安排的支出（项）指反映除农村中小学校舍建设、农村中小学教学设施、城市中小学校舍建设、城市中小学教学设施和中等职业学校教学设施支出以外的教育费附加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24.社会保障和就业支出（类）行政事业单位离退休（款）机关事业单位基本养老保险缴费支出（项）指反映机关事业单位实施养老保险制度由单位缴纳的基本养老保险费支出。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25.社会保障和就业支出（类）行政事业单位离退休（款）机关事业单位职业年金缴费支出（项）指反映机关事业单位实施养老保险制度由单位实际缴纳的职业年金支出。</w:t>
      </w:r>
    </w:p>
    <w:p>
      <w:pPr>
        <w:keepNext w:val="0"/>
        <w:keepLines w:val="0"/>
        <w:pageBreakBefore w:val="0"/>
        <w:numPr>
          <w:ilvl w:val="0"/>
          <w:numId w:val="0"/>
        </w:numPr>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26.卫生健康支出（类）行政事业单位医疗（款）行政单位医疗（项）指反映财政单位集中安排的行政单位基本医疗保险缴费经费，未参加医疗保险的行政单位的公费医疗经费，按国家规定享受离休人员、红军老战士待遇人员的医疗经费。</w:t>
      </w:r>
    </w:p>
    <w:p>
      <w:pPr>
        <w:spacing w:line="520" w:lineRule="exact"/>
        <w:rPr>
          <w:highlight w:val="none"/>
        </w:rPr>
      </w:pPr>
      <w:r>
        <w:rPr>
          <w:rFonts w:hint="eastAsia"/>
          <w:highlight w:val="none"/>
          <w:lang w:val="en-US" w:eastAsia="zh-CN"/>
        </w:rPr>
        <w:t xml:space="preserve">      </w:t>
      </w:r>
      <w:r>
        <w:rPr>
          <w:rFonts w:hint="eastAsia" w:ascii="仿宋_GB2312" w:hAnsi="仿宋_GB2312" w:eastAsia="仿宋_GB2312" w:cs="仿宋_GB2312"/>
          <w:color w:val="auto"/>
          <w:kern w:val="2"/>
          <w:sz w:val="32"/>
          <w:szCs w:val="32"/>
          <w:highlight w:val="none"/>
          <w:lang w:val="en-US" w:eastAsia="zh-CN" w:bidi="ar-SA"/>
        </w:rPr>
        <w:t>27.住房保障支出（类）住房改革支出（款）住房公积金（项）指反映行政事业单位按人力资源和社会保障部、财政部规定的基本工资和津贴补贴以及规定比例为职工缴纳的住房公积金。</w:t>
      </w:r>
    </w:p>
    <w:p>
      <w:pPr>
        <w:rPr>
          <w:highlight w:val="none"/>
        </w:rPr>
      </w:pPr>
    </w:p>
    <w:p>
      <w:pPr>
        <w:pStyle w:val="2"/>
        <w:numPr>
          <w:ilvl w:val="0"/>
          <w:numId w:val="0"/>
        </w:numPr>
        <w:rPr>
          <w:rFonts w:hint="eastAsia" w:ascii="仿宋_GB2312" w:hAnsi="仿宋_GB2312" w:eastAsia="仿宋_GB2312" w:cs="仿宋_GB2312"/>
          <w:color w:val="auto"/>
          <w:kern w:val="2"/>
          <w:sz w:val="32"/>
          <w:szCs w:val="32"/>
          <w:highlight w:val="none"/>
          <w:lang w:val="en-US" w:eastAsia="zh-CN" w:bidi="ar-SA"/>
        </w:rPr>
      </w:pPr>
    </w:p>
    <w:p>
      <w:pPr>
        <w:jc w:val="right"/>
        <w:rPr>
          <w:highlight w:val="none"/>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pgNumType w:start="6"/>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altName w:val="黑体"/>
    <w:panose1 w:val="00000000000000000000"/>
    <w:charset w:val="86"/>
    <w:family w:val="script"/>
    <w:pitch w:val="default"/>
    <w:sig w:usb0="00000000" w:usb1="00000000" w:usb2="00000012"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93F62F"/>
    <w:multiLevelType w:val="singleLevel"/>
    <w:tmpl w:val="5893F62F"/>
    <w:lvl w:ilvl="0" w:tentative="0">
      <w:start w:val="2"/>
      <w:numFmt w:val="decimal"/>
      <w:suff w:val="nothing"/>
      <w:lvlText w:val="%1."/>
      <w:lvlJc w:val="left"/>
    </w:lvl>
  </w:abstractNum>
  <w:abstractNum w:abstractNumId="1">
    <w:nsid w:val="5895A99C"/>
    <w:multiLevelType w:val="singleLevel"/>
    <w:tmpl w:val="5895A99C"/>
    <w:lvl w:ilvl="0" w:tentative="0">
      <w:start w:val="5"/>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YzhiYjg3NzRhZWY0YWIwNmU1MGQwODBiNTcxYmVlNTkifQ=="/>
  </w:docVars>
  <w:rsids>
    <w:rsidRoot w:val="0018453C"/>
    <w:rsid w:val="00037FBA"/>
    <w:rsid w:val="00084C3B"/>
    <w:rsid w:val="000F6704"/>
    <w:rsid w:val="0014553D"/>
    <w:rsid w:val="00151805"/>
    <w:rsid w:val="0018453C"/>
    <w:rsid w:val="001C6D6F"/>
    <w:rsid w:val="001D7273"/>
    <w:rsid w:val="001F186B"/>
    <w:rsid w:val="0025199F"/>
    <w:rsid w:val="00262BFB"/>
    <w:rsid w:val="002E190E"/>
    <w:rsid w:val="00312421"/>
    <w:rsid w:val="0034320B"/>
    <w:rsid w:val="0035041B"/>
    <w:rsid w:val="00352D79"/>
    <w:rsid w:val="003533AA"/>
    <w:rsid w:val="00372A55"/>
    <w:rsid w:val="003A54FF"/>
    <w:rsid w:val="003E68CE"/>
    <w:rsid w:val="004C1A7E"/>
    <w:rsid w:val="004E07B6"/>
    <w:rsid w:val="004F65D0"/>
    <w:rsid w:val="004F6D96"/>
    <w:rsid w:val="0054517F"/>
    <w:rsid w:val="0055355B"/>
    <w:rsid w:val="00576237"/>
    <w:rsid w:val="005B1AB5"/>
    <w:rsid w:val="005D0D77"/>
    <w:rsid w:val="005E0A27"/>
    <w:rsid w:val="005E47B3"/>
    <w:rsid w:val="005E7D52"/>
    <w:rsid w:val="00655F61"/>
    <w:rsid w:val="006B2E4F"/>
    <w:rsid w:val="006C39E2"/>
    <w:rsid w:val="006D5442"/>
    <w:rsid w:val="006D7FE3"/>
    <w:rsid w:val="006E085B"/>
    <w:rsid w:val="006F455E"/>
    <w:rsid w:val="007072D9"/>
    <w:rsid w:val="00731A0A"/>
    <w:rsid w:val="0073245A"/>
    <w:rsid w:val="00755A48"/>
    <w:rsid w:val="007715EF"/>
    <w:rsid w:val="007A0C65"/>
    <w:rsid w:val="007B431F"/>
    <w:rsid w:val="007D24B2"/>
    <w:rsid w:val="007E4CC3"/>
    <w:rsid w:val="00801E01"/>
    <w:rsid w:val="00823268"/>
    <w:rsid w:val="00834DDF"/>
    <w:rsid w:val="00850DC9"/>
    <w:rsid w:val="0089440C"/>
    <w:rsid w:val="00937AE8"/>
    <w:rsid w:val="009415A1"/>
    <w:rsid w:val="009427F2"/>
    <w:rsid w:val="009A7459"/>
    <w:rsid w:val="009B71E7"/>
    <w:rsid w:val="00A76362"/>
    <w:rsid w:val="00A86842"/>
    <w:rsid w:val="00AB2741"/>
    <w:rsid w:val="00B109C2"/>
    <w:rsid w:val="00B85FDA"/>
    <w:rsid w:val="00BA6311"/>
    <w:rsid w:val="00C35F38"/>
    <w:rsid w:val="00C35FDD"/>
    <w:rsid w:val="00C47BB8"/>
    <w:rsid w:val="00C50353"/>
    <w:rsid w:val="00C52D1F"/>
    <w:rsid w:val="00CC1B9F"/>
    <w:rsid w:val="00CE3F52"/>
    <w:rsid w:val="00D7617F"/>
    <w:rsid w:val="00D81B35"/>
    <w:rsid w:val="00DA4451"/>
    <w:rsid w:val="00DA6F5B"/>
    <w:rsid w:val="00DA7F84"/>
    <w:rsid w:val="00DF037C"/>
    <w:rsid w:val="00E16F71"/>
    <w:rsid w:val="00E20FB4"/>
    <w:rsid w:val="00E40834"/>
    <w:rsid w:val="00E429D8"/>
    <w:rsid w:val="00E44C58"/>
    <w:rsid w:val="00E61E40"/>
    <w:rsid w:val="00E925CD"/>
    <w:rsid w:val="00E95C9E"/>
    <w:rsid w:val="00ED0384"/>
    <w:rsid w:val="00F23B56"/>
    <w:rsid w:val="00F56A05"/>
    <w:rsid w:val="00F7116F"/>
    <w:rsid w:val="01405C62"/>
    <w:rsid w:val="01F263DB"/>
    <w:rsid w:val="01F648EB"/>
    <w:rsid w:val="024C6702"/>
    <w:rsid w:val="026505B4"/>
    <w:rsid w:val="028630A1"/>
    <w:rsid w:val="02FD4879"/>
    <w:rsid w:val="038C7FF1"/>
    <w:rsid w:val="03AA3E3B"/>
    <w:rsid w:val="03EA5C50"/>
    <w:rsid w:val="04600135"/>
    <w:rsid w:val="04785647"/>
    <w:rsid w:val="05054F3D"/>
    <w:rsid w:val="05F46152"/>
    <w:rsid w:val="05F835B0"/>
    <w:rsid w:val="06113422"/>
    <w:rsid w:val="063B27DE"/>
    <w:rsid w:val="065E25EC"/>
    <w:rsid w:val="06835E42"/>
    <w:rsid w:val="07487AC1"/>
    <w:rsid w:val="07623DA7"/>
    <w:rsid w:val="07970D22"/>
    <w:rsid w:val="07BD4933"/>
    <w:rsid w:val="081119C7"/>
    <w:rsid w:val="08DE4DFD"/>
    <w:rsid w:val="0A1D1E06"/>
    <w:rsid w:val="0A4C7CCD"/>
    <w:rsid w:val="0B486D9D"/>
    <w:rsid w:val="0B4F52A1"/>
    <w:rsid w:val="0B652DFD"/>
    <w:rsid w:val="0B654246"/>
    <w:rsid w:val="0BD448F3"/>
    <w:rsid w:val="0C7B7749"/>
    <w:rsid w:val="0CE2397A"/>
    <w:rsid w:val="0CEE5818"/>
    <w:rsid w:val="0DDF3EA9"/>
    <w:rsid w:val="0F0A0BC6"/>
    <w:rsid w:val="0F216C64"/>
    <w:rsid w:val="0F3E23E2"/>
    <w:rsid w:val="0F5C4EB1"/>
    <w:rsid w:val="0F760C96"/>
    <w:rsid w:val="0F8B51E9"/>
    <w:rsid w:val="106B2554"/>
    <w:rsid w:val="1085571C"/>
    <w:rsid w:val="12970A77"/>
    <w:rsid w:val="12D300E7"/>
    <w:rsid w:val="136B79EF"/>
    <w:rsid w:val="13811EEE"/>
    <w:rsid w:val="13FF3975"/>
    <w:rsid w:val="14861683"/>
    <w:rsid w:val="14887B46"/>
    <w:rsid w:val="14EF3497"/>
    <w:rsid w:val="153C45B3"/>
    <w:rsid w:val="157947AC"/>
    <w:rsid w:val="15DB09EF"/>
    <w:rsid w:val="1650535C"/>
    <w:rsid w:val="16B75B8F"/>
    <w:rsid w:val="16FE1938"/>
    <w:rsid w:val="170C3948"/>
    <w:rsid w:val="17E535EB"/>
    <w:rsid w:val="17EC7FC1"/>
    <w:rsid w:val="17F81734"/>
    <w:rsid w:val="180061CB"/>
    <w:rsid w:val="18154C5A"/>
    <w:rsid w:val="18EF3804"/>
    <w:rsid w:val="195C3A7E"/>
    <w:rsid w:val="1A2375F0"/>
    <w:rsid w:val="1AC0275A"/>
    <w:rsid w:val="1AE500E3"/>
    <w:rsid w:val="1B0B7E8A"/>
    <w:rsid w:val="1B1D1342"/>
    <w:rsid w:val="1B2A6629"/>
    <w:rsid w:val="1BBC2184"/>
    <w:rsid w:val="1C103D2D"/>
    <w:rsid w:val="1C1965EC"/>
    <w:rsid w:val="1C7701B9"/>
    <w:rsid w:val="1CEA3F89"/>
    <w:rsid w:val="1CF73295"/>
    <w:rsid w:val="1D451326"/>
    <w:rsid w:val="1D5F4748"/>
    <w:rsid w:val="1D99665F"/>
    <w:rsid w:val="1E621D9B"/>
    <w:rsid w:val="1E9448CB"/>
    <w:rsid w:val="1E945AB3"/>
    <w:rsid w:val="1EFB5835"/>
    <w:rsid w:val="1F8A1433"/>
    <w:rsid w:val="1FD94E57"/>
    <w:rsid w:val="205247F6"/>
    <w:rsid w:val="206501BF"/>
    <w:rsid w:val="20C21B5F"/>
    <w:rsid w:val="20D8491F"/>
    <w:rsid w:val="2163103A"/>
    <w:rsid w:val="217D79B3"/>
    <w:rsid w:val="219B3B12"/>
    <w:rsid w:val="21F8300E"/>
    <w:rsid w:val="22D4227E"/>
    <w:rsid w:val="22FA27EC"/>
    <w:rsid w:val="230477A4"/>
    <w:rsid w:val="234550B7"/>
    <w:rsid w:val="2384696C"/>
    <w:rsid w:val="23B968AE"/>
    <w:rsid w:val="240772FF"/>
    <w:rsid w:val="24183DF0"/>
    <w:rsid w:val="247778DD"/>
    <w:rsid w:val="247A77A8"/>
    <w:rsid w:val="24D6630F"/>
    <w:rsid w:val="24F84929"/>
    <w:rsid w:val="252A0A7B"/>
    <w:rsid w:val="257B506C"/>
    <w:rsid w:val="25AF42DB"/>
    <w:rsid w:val="25B348BA"/>
    <w:rsid w:val="25DE1005"/>
    <w:rsid w:val="25FD2566"/>
    <w:rsid w:val="26816946"/>
    <w:rsid w:val="26DB7398"/>
    <w:rsid w:val="27033FBD"/>
    <w:rsid w:val="2705728B"/>
    <w:rsid w:val="27417BF8"/>
    <w:rsid w:val="27693B45"/>
    <w:rsid w:val="283A129B"/>
    <w:rsid w:val="28FE78EF"/>
    <w:rsid w:val="29672817"/>
    <w:rsid w:val="29954B63"/>
    <w:rsid w:val="29A41943"/>
    <w:rsid w:val="29B831E7"/>
    <w:rsid w:val="29DF16A7"/>
    <w:rsid w:val="29F74F67"/>
    <w:rsid w:val="2A484907"/>
    <w:rsid w:val="2B755902"/>
    <w:rsid w:val="2BA81833"/>
    <w:rsid w:val="2BAC3F70"/>
    <w:rsid w:val="2BB02AB9"/>
    <w:rsid w:val="2C56166B"/>
    <w:rsid w:val="2C772798"/>
    <w:rsid w:val="2CE33635"/>
    <w:rsid w:val="2D391980"/>
    <w:rsid w:val="2D7C6F9A"/>
    <w:rsid w:val="2ED263DE"/>
    <w:rsid w:val="2EE62025"/>
    <w:rsid w:val="2F312BD6"/>
    <w:rsid w:val="2F4F315F"/>
    <w:rsid w:val="2F5260FE"/>
    <w:rsid w:val="2F5D53DA"/>
    <w:rsid w:val="2F78760A"/>
    <w:rsid w:val="30780EC9"/>
    <w:rsid w:val="312E2441"/>
    <w:rsid w:val="31651329"/>
    <w:rsid w:val="31C46552"/>
    <w:rsid w:val="31EC7268"/>
    <w:rsid w:val="32691E0F"/>
    <w:rsid w:val="33722AF4"/>
    <w:rsid w:val="339F6CDD"/>
    <w:rsid w:val="344952F9"/>
    <w:rsid w:val="34F20284"/>
    <w:rsid w:val="3619346A"/>
    <w:rsid w:val="366152C5"/>
    <w:rsid w:val="37DD34EA"/>
    <w:rsid w:val="3859649B"/>
    <w:rsid w:val="386D2696"/>
    <w:rsid w:val="38CA384A"/>
    <w:rsid w:val="39227B1B"/>
    <w:rsid w:val="39406911"/>
    <w:rsid w:val="39850296"/>
    <w:rsid w:val="39C26750"/>
    <w:rsid w:val="39D6519A"/>
    <w:rsid w:val="3A7F1D43"/>
    <w:rsid w:val="3A8D223E"/>
    <w:rsid w:val="3B291386"/>
    <w:rsid w:val="3B563038"/>
    <w:rsid w:val="3B7A306D"/>
    <w:rsid w:val="3B80307E"/>
    <w:rsid w:val="3BCA7BD7"/>
    <w:rsid w:val="3C6C37E2"/>
    <w:rsid w:val="3C7D1C3F"/>
    <w:rsid w:val="3CEA3E5A"/>
    <w:rsid w:val="3CFD6A0C"/>
    <w:rsid w:val="3DDA1E4D"/>
    <w:rsid w:val="400943B7"/>
    <w:rsid w:val="40143523"/>
    <w:rsid w:val="406B2735"/>
    <w:rsid w:val="4171469C"/>
    <w:rsid w:val="42C454C8"/>
    <w:rsid w:val="43482ADF"/>
    <w:rsid w:val="43497E11"/>
    <w:rsid w:val="438C52D1"/>
    <w:rsid w:val="43AF1DC7"/>
    <w:rsid w:val="442360D8"/>
    <w:rsid w:val="450B3104"/>
    <w:rsid w:val="45374F70"/>
    <w:rsid w:val="45A32D85"/>
    <w:rsid w:val="45E922E2"/>
    <w:rsid w:val="46181B9F"/>
    <w:rsid w:val="46B73DB3"/>
    <w:rsid w:val="46B85A12"/>
    <w:rsid w:val="46C20ABF"/>
    <w:rsid w:val="471C5409"/>
    <w:rsid w:val="475E76EE"/>
    <w:rsid w:val="47B54AE2"/>
    <w:rsid w:val="484652C3"/>
    <w:rsid w:val="489E735B"/>
    <w:rsid w:val="48EF215B"/>
    <w:rsid w:val="49547ADE"/>
    <w:rsid w:val="499358EA"/>
    <w:rsid w:val="49A70025"/>
    <w:rsid w:val="4A9518DB"/>
    <w:rsid w:val="4AB935E6"/>
    <w:rsid w:val="4B1F601E"/>
    <w:rsid w:val="4B65339C"/>
    <w:rsid w:val="4BE2220E"/>
    <w:rsid w:val="4CBF2857"/>
    <w:rsid w:val="4CF82AE4"/>
    <w:rsid w:val="4D097364"/>
    <w:rsid w:val="4D667BB3"/>
    <w:rsid w:val="4D7808AB"/>
    <w:rsid w:val="4DC87963"/>
    <w:rsid w:val="4E0626FD"/>
    <w:rsid w:val="4EA45B39"/>
    <w:rsid w:val="4EED2017"/>
    <w:rsid w:val="4F2E2211"/>
    <w:rsid w:val="4F4E78CD"/>
    <w:rsid w:val="4FA62E1E"/>
    <w:rsid w:val="4FAC0AB2"/>
    <w:rsid w:val="4FC809F8"/>
    <w:rsid w:val="4FE85961"/>
    <w:rsid w:val="50072C4D"/>
    <w:rsid w:val="50341189"/>
    <w:rsid w:val="507E6E89"/>
    <w:rsid w:val="50837233"/>
    <w:rsid w:val="514C5668"/>
    <w:rsid w:val="51513799"/>
    <w:rsid w:val="518C29B6"/>
    <w:rsid w:val="52170DB7"/>
    <w:rsid w:val="52AA23A8"/>
    <w:rsid w:val="52B7187A"/>
    <w:rsid w:val="52BF3A93"/>
    <w:rsid w:val="53A5465B"/>
    <w:rsid w:val="53B6028C"/>
    <w:rsid w:val="54392B16"/>
    <w:rsid w:val="54442E65"/>
    <w:rsid w:val="545B2AA1"/>
    <w:rsid w:val="549B5701"/>
    <w:rsid w:val="54A9277D"/>
    <w:rsid w:val="55182E77"/>
    <w:rsid w:val="553F16B7"/>
    <w:rsid w:val="558856A9"/>
    <w:rsid w:val="55CA2A9E"/>
    <w:rsid w:val="55CA3B80"/>
    <w:rsid w:val="55E50F1B"/>
    <w:rsid w:val="565F6886"/>
    <w:rsid w:val="56BC237C"/>
    <w:rsid w:val="56CD4B4D"/>
    <w:rsid w:val="575C7815"/>
    <w:rsid w:val="5798381B"/>
    <w:rsid w:val="57D4447A"/>
    <w:rsid w:val="57F759F2"/>
    <w:rsid w:val="585447AE"/>
    <w:rsid w:val="58AF736D"/>
    <w:rsid w:val="58EC4DE1"/>
    <w:rsid w:val="596B72CE"/>
    <w:rsid w:val="599A7084"/>
    <w:rsid w:val="59B3494A"/>
    <w:rsid w:val="59EB1B1F"/>
    <w:rsid w:val="59EC6E24"/>
    <w:rsid w:val="5A0B2520"/>
    <w:rsid w:val="5A186813"/>
    <w:rsid w:val="5A3B2376"/>
    <w:rsid w:val="5A40591F"/>
    <w:rsid w:val="5A6F0692"/>
    <w:rsid w:val="5ABF2E42"/>
    <w:rsid w:val="5B586398"/>
    <w:rsid w:val="5B916903"/>
    <w:rsid w:val="5BEF472E"/>
    <w:rsid w:val="5C932202"/>
    <w:rsid w:val="5CC87E6F"/>
    <w:rsid w:val="5CD918EA"/>
    <w:rsid w:val="5D247D3D"/>
    <w:rsid w:val="5DAE1AC9"/>
    <w:rsid w:val="5E01752C"/>
    <w:rsid w:val="5E153AF5"/>
    <w:rsid w:val="5F0E1E7F"/>
    <w:rsid w:val="5F112305"/>
    <w:rsid w:val="5F2767B3"/>
    <w:rsid w:val="5FE31F70"/>
    <w:rsid w:val="60045498"/>
    <w:rsid w:val="614C1844"/>
    <w:rsid w:val="617A6C2D"/>
    <w:rsid w:val="618968F0"/>
    <w:rsid w:val="619E6355"/>
    <w:rsid w:val="61BD64DA"/>
    <w:rsid w:val="6215384D"/>
    <w:rsid w:val="627460EE"/>
    <w:rsid w:val="62AC06BC"/>
    <w:rsid w:val="633B4987"/>
    <w:rsid w:val="63525D55"/>
    <w:rsid w:val="63F321C7"/>
    <w:rsid w:val="64C20A08"/>
    <w:rsid w:val="64F06443"/>
    <w:rsid w:val="65737FB9"/>
    <w:rsid w:val="65DF5ECF"/>
    <w:rsid w:val="661D7FD4"/>
    <w:rsid w:val="665A45AE"/>
    <w:rsid w:val="66A662C4"/>
    <w:rsid w:val="66DE2D4E"/>
    <w:rsid w:val="67222B8A"/>
    <w:rsid w:val="679D182D"/>
    <w:rsid w:val="67BB6396"/>
    <w:rsid w:val="68165F70"/>
    <w:rsid w:val="68794E30"/>
    <w:rsid w:val="687B5327"/>
    <w:rsid w:val="688621C1"/>
    <w:rsid w:val="68C15BDE"/>
    <w:rsid w:val="6A0A39F6"/>
    <w:rsid w:val="6AD23ACD"/>
    <w:rsid w:val="6AE706B2"/>
    <w:rsid w:val="6B103823"/>
    <w:rsid w:val="6B315A81"/>
    <w:rsid w:val="6C3F4637"/>
    <w:rsid w:val="6C9D07C7"/>
    <w:rsid w:val="6CB426A8"/>
    <w:rsid w:val="6D3835CD"/>
    <w:rsid w:val="6D9B59D3"/>
    <w:rsid w:val="6DDF18A8"/>
    <w:rsid w:val="6E7742D5"/>
    <w:rsid w:val="6E947A29"/>
    <w:rsid w:val="6EFB1E55"/>
    <w:rsid w:val="701E0D35"/>
    <w:rsid w:val="708C2BAE"/>
    <w:rsid w:val="717A54B6"/>
    <w:rsid w:val="71E47115"/>
    <w:rsid w:val="72124418"/>
    <w:rsid w:val="72BF52A3"/>
    <w:rsid w:val="73520170"/>
    <w:rsid w:val="73B32D5B"/>
    <w:rsid w:val="74906E74"/>
    <w:rsid w:val="74D2633E"/>
    <w:rsid w:val="75127B2A"/>
    <w:rsid w:val="756B70AB"/>
    <w:rsid w:val="762D45E7"/>
    <w:rsid w:val="76432C97"/>
    <w:rsid w:val="76472E5B"/>
    <w:rsid w:val="76622032"/>
    <w:rsid w:val="76DA2B8D"/>
    <w:rsid w:val="773F1B2E"/>
    <w:rsid w:val="776141C0"/>
    <w:rsid w:val="77E71EE7"/>
    <w:rsid w:val="78403651"/>
    <w:rsid w:val="784051C1"/>
    <w:rsid w:val="789E16E5"/>
    <w:rsid w:val="78DB40C6"/>
    <w:rsid w:val="7954401D"/>
    <w:rsid w:val="79547EF1"/>
    <w:rsid w:val="79A24C96"/>
    <w:rsid w:val="7AC02D1F"/>
    <w:rsid w:val="7AE80A7B"/>
    <w:rsid w:val="7AE861A8"/>
    <w:rsid w:val="7B452E9A"/>
    <w:rsid w:val="7B5E14E4"/>
    <w:rsid w:val="7B741965"/>
    <w:rsid w:val="7BBF78B4"/>
    <w:rsid w:val="7BFE30BC"/>
    <w:rsid w:val="7C0A7BF1"/>
    <w:rsid w:val="7CD24C07"/>
    <w:rsid w:val="7CDD0037"/>
    <w:rsid w:val="7D2C5AF6"/>
    <w:rsid w:val="7D8F4D87"/>
    <w:rsid w:val="7DBB66FE"/>
    <w:rsid w:val="7DBE27C1"/>
    <w:rsid w:val="7DCA5F0F"/>
    <w:rsid w:val="7E1F736F"/>
    <w:rsid w:val="7E300305"/>
    <w:rsid w:val="7E7D74C3"/>
    <w:rsid w:val="7F346A78"/>
    <w:rsid w:val="7FA57776"/>
    <w:rsid w:val="7FC2506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hint="eastAsia" w:ascii="仿宋_GB2312" w:hAnsi="仿宋_GB2312" w:eastAsia="仿宋_GB2312" w:cs="Times New Roman"/>
      <w:color w:val="000000"/>
      <w:sz w:val="24"/>
      <w:szCs w:val="22"/>
      <w:lang w:val="en-US" w:eastAsia="zh-CN" w:bidi="ar-SA"/>
    </w:rPr>
  </w:style>
  <w:style w:type="paragraph" w:styleId="3">
    <w:name w:val="Document Map"/>
    <w:basedOn w:val="1"/>
    <w:semiHidden/>
    <w:qFormat/>
    <w:uiPriority w:val="0"/>
    <w:pPr>
      <w:shd w:val="clear" w:color="auto" w:fill="000080"/>
    </w:pPr>
  </w:style>
  <w:style w:type="paragraph" w:styleId="4">
    <w:name w:val="footer"/>
    <w:basedOn w:val="1"/>
    <w:link w:val="12"/>
    <w:qFormat/>
    <w:uiPriority w:val="0"/>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Strong"/>
    <w:basedOn w:val="8"/>
    <w:qFormat/>
    <w:uiPriority w:val="0"/>
    <w:rPr>
      <w:b/>
      <w:bCs/>
    </w:rPr>
  </w:style>
  <w:style w:type="paragraph" w:customStyle="1" w:styleId="10">
    <w:name w:val="Char"/>
    <w:basedOn w:val="1"/>
    <w:qFormat/>
    <w:uiPriority w:val="0"/>
    <w:rPr>
      <w:rFonts w:ascii="宋体" w:hAnsi="宋体" w:cs="Courier New"/>
      <w:sz w:val="32"/>
      <w:szCs w:val="32"/>
    </w:rPr>
  </w:style>
  <w:style w:type="character" w:customStyle="1" w:styleId="11">
    <w:name w:val="页眉 Char"/>
    <w:link w:val="5"/>
    <w:qFormat/>
    <w:uiPriority w:val="0"/>
    <w:rPr>
      <w:kern w:val="2"/>
      <w:sz w:val="18"/>
      <w:szCs w:val="18"/>
    </w:rPr>
  </w:style>
  <w:style w:type="character" w:customStyle="1" w:styleId="12">
    <w:name w:val="页脚 Char"/>
    <w:link w:val="4"/>
    <w:qFormat/>
    <w:uiPriority w:val="0"/>
    <w:rPr>
      <w:kern w:val="2"/>
      <w:sz w:val="18"/>
      <w:szCs w:val="18"/>
    </w:rPr>
  </w:style>
  <w:style w:type="paragraph" w:customStyle="1" w:styleId="13">
    <w:name w:val="[Normal]"/>
    <w:qFormat/>
    <w:uiPriority w:val="0"/>
    <w:rPr>
      <w:rFonts w:ascii="宋体" w:hAnsi="宋体" w:eastAsia="宋体" w:cs="Times New Roman"/>
      <w:sz w:val="24"/>
      <w:lang w:val="zh-CN" w:eastAsia="zh-CN" w:bidi="ar-SA"/>
    </w:rPr>
  </w:style>
  <w:style w:type="paragraph" w:customStyle="1" w:styleId="14">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xc</Company>
  <Pages>19</Pages>
  <Words>9617</Words>
  <Characters>17507</Characters>
  <Lines>145</Lines>
  <Paragraphs>54</Paragraphs>
  <TotalTime>191</TotalTime>
  <ScaleCrop>false</ScaleCrop>
  <LinksUpToDate>false</LinksUpToDate>
  <CharactersWithSpaces>27070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2020-01-06T08:45:00Z</dcterms:created>
  <dc:creator>dsx</dc:creator>
  <cp:lastModifiedBy>Administrator</cp:lastModifiedBy>
  <dcterms:modified xsi:type="dcterms:W3CDTF">2024-04-03T06:28:28Z</dcterms:modified>
  <dc:title>关于2019年部门预算的批复</dc:title>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EDOID">
    <vt:r8>5838458</vt:r8>
  </property>
  <property fmtid="{D5CDD505-2E9C-101B-9397-08002B2CF9AE}" pid="4" name="ICV">
    <vt:lpwstr>E7E435903E954F16B3A6550F30CE4D1E</vt:lpwstr>
  </property>
</Properties>
</file>