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0" w:lineRule="exact"/>
        <w:jc w:val="both"/>
        <w:textAlignment w:val="baseline"/>
        <w:rPr>
          <w:rFonts w:hint="eastAsia" w:ascii="黑体" w:hAnsi="黑体" w:eastAsia="黑体" w:cs="黑体"/>
          <w:color w:val="000000"/>
          <w:sz w:val="32"/>
          <w:szCs w:val="32"/>
          <w:u w:val="none" w:color="000000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u w:val="none" w:color="00000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40" w:lineRule="exact"/>
        <w:jc w:val="center"/>
        <w:textAlignment w:val="baseline"/>
        <w:rPr>
          <w:rFonts w:hint="eastAsia" w:ascii="方正小标宋简体" w:hAnsi="Times New Roman" w:eastAsia="方正小标宋简体" w:cs="Times New Roman"/>
          <w:color w:val="000000"/>
          <w:sz w:val="36"/>
          <w:szCs w:val="32"/>
          <w:u w:val="none" w:color="000000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u w:val="none" w:color="000000"/>
        </w:rPr>
        <w:t>202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u w:val="none" w:color="000000"/>
          <w:lang w:val="en-US" w:eastAsia="zh-CN"/>
        </w:rPr>
        <w:t>4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u w:val="none" w:color="000000"/>
        </w:rPr>
        <w:t>年度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u w:val="none" w:color="000000"/>
          <w:lang w:eastAsia="zh-CN"/>
        </w:rPr>
        <w:t>缙云县</w:t>
      </w:r>
      <w:r>
        <w:rPr>
          <w:rFonts w:hint="eastAsia" w:ascii="方正小标宋简体" w:eastAsia="方正小标宋简体" w:cs="Times New Roman"/>
          <w:color w:val="000000"/>
          <w:sz w:val="44"/>
          <w:szCs w:val="44"/>
          <w:u w:val="none" w:color="000000"/>
          <w:lang w:val="en-US" w:eastAsia="zh-CN"/>
        </w:rPr>
        <w:t>双溪口乡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u w:val="none" w:color="000000"/>
        </w:rPr>
        <w:t>重大行政决策事项目录清单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629"/>
        <w:gridCol w:w="1586"/>
        <w:gridCol w:w="1703"/>
        <w:gridCol w:w="2722"/>
        <w:gridCol w:w="2586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hint="eastAsia" w:ascii="黑体" w:hAnsi="黑体" w:eastAsia="黑体" w:cs="宋体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  <w:u w:val="none" w:color="000000"/>
              </w:rPr>
              <w:t>序号</w:t>
            </w:r>
          </w:p>
        </w:tc>
        <w:tc>
          <w:tcPr>
            <w:tcW w:w="16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ascii="黑体" w:hAnsi="黑体" w:eastAsia="黑体" w:cs="宋体"/>
                <w:color w:val="000000"/>
                <w:sz w:val="28"/>
                <w:szCs w:val="28"/>
                <w:u w:val="single" w:color="000000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  <w:u w:val="none" w:color="000000"/>
              </w:rPr>
              <w:t>项目名称</w:t>
            </w:r>
          </w:p>
        </w:tc>
        <w:tc>
          <w:tcPr>
            <w:tcW w:w="15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ascii="黑体" w:hAnsi="黑体" w:eastAsia="黑体" w:cs="宋体"/>
                <w:color w:val="000000"/>
                <w:sz w:val="28"/>
                <w:szCs w:val="28"/>
                <w:u w:val="single" w:color="000000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  <w:u w:val="none" w:color="000000"/>
              </w:rPr>
              <w:t>承办单位</w:t>
            </w:r>
          </w:p>
        </w:tc>
        <w:tc>
          <w:tcPr>
            <w:tcW w:w="17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ascii="黑体" w:hAnsi="黑体" w:eastAsia="黑体" w:cs="宋体"/>
                <w:color w:val="000000"/>
                <w:sz w:val="28"/>
                <w:szCs w:val="28"/>
                <w:u w:val="single" w:color="000000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  <w:u w:val="none" w:color="000000"/>
              </w:rPr>
              <w:t>会同单位</w:t>
            </w:r>
          </w:p>
        </w:tc>
        <w:tc>
          <w:tcPr>
            <w:tcW w:w="27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ascii="黑体" w:hAnsi="黑体" w:eastAsia="黑体" w:cs="宋体"/>
                <w:color w:val="000000"/>
                <w:sz w:val="28"/>
                <w:szCs w:val="28"/>
                <w:u w:val="single" w:color="000000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  <w:u w:val="none" w:color="000000"/>
              </w:rPr>
              <w:t>决策依据</w:t>
            </w:r>
          </w:p>
        </w:tc>
        <w:tc>
          <w:tcPr>
            <w:tcW w:w="46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ascii="黑体" w:hAnsi="黑体" w:eastAsia="黑体" w:cs="宋体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  <w:u w:val="none" w:color="000000"/>
              </w:rPr>
              <w:t>计划完成时间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ascii="黑体" w:hAnsi="黑体" w:eastAsia="黑体" w:cs="宋体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ascii="黑体" w:hAnsi="黑体" w:eastAsia="黑体" w:cs="宋体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1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ascii="黑体" w:hAnsi="黑体" w:eastAsia="黑体" w:cs="宋体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17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ascii="黑体" w:hAnsi="黑体" w:eastAsia="黑体" w:cs="宋体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2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ascii="黑体" w:hAnsi="黑体" w:eastAsia="黑体" w:cs="宋体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2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ascii="黑体" w:hAnsi="黑体" w:eastAsia="黑体" w:cs="宋体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  <w:u w:val="none" w:color="000000"/>
              </w:rPr>
              <w:t>决策程序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ascii="黑体" w:hAnsi="黑体" w:eastAsia="黑体" w:cs="宋体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  <w:u w:val="none" w:color="000000"/>
              </w:rPr>
              <w:t>时间节点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u w:val="none" w:color="00000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28"/>
                <w:szCs w:val="28"/>
                <w:u w:val="none" w:color="000000"/>
                <w:lang w:val="en-US" w:eastAsia="zh-CN"/>
              </w:rPr>
              <w:t>1</w:t>
            </w:r>
          </w:p>
        </w:tc>
        <w:tc>
          <w:tcPr>
            <w:tcW w:w="1629" w:type="dxa"/>
            <w:vMerge w:val="restart"/>
            <w:noWrap w:val="0"/>
            <w:vAlign w:val="top"/>
          </w:tcPr>
          <w:p>
            <w:pPr>
              <w:spacing w:line="380" w:lineRule="exact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u w:val="none" w:color="000000"/>
                <w:lang w:val="en-US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缙云县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双溪口乡</w:t>
            </w: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葡萄</w:t>
            </w:r>
            <w:r>
              <w:rPr>
                <w:rFonts w:hint="eastAsia" w:ascii="仿宋_GB2312" w:hAnsi="宋体" w:cs="宋体"/>
                <w:sz w:val="28"/>
                <w:szCs w:val="28"/>
                <w:lang w:eastAsia="zh-CN"/>
              </w:rPr>
              <w:t>采摘</w:t>
            </w: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节暨第三届东里个东东夏日七夕音乐节系列活动</w:t>
            </w:r>
          </w:p>
        </w:tc>
        <w:tc>
          <w:tcPr>
            <w:tcW w:w="1586" w:type="dxa"/>
            <w:vMerge w:val="restart"/>
            <w:noWrap w:val="0"/>
            <w:vAlign w:val="top"/>
          </w:tcPr>
          <w:p>
            <w:pPr>
              <w:spacing w:line="380" w:lineRule="exact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u w:val="none" w:color="000000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缙云县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双溪口</w:t>
            </w:r>
            <w:r>
              <w:rPr>
                <w:rFonts w:hint="eastAsia" w:ascii="仿宋_GB2312" w:hAnsi="宋体" w:cs="宋体"/>
                <w:sz w:val="28"/>
                <w:szCs w:val="28"/>
                <w:lang w:eastAsia="zh-CN"/>
              </w:rPr>
              <w:t>乡人民政府</w:t>
            </w:r>
          </w:p>
        </w:tc>
        <w:tc>
          <w:tcPr>
            <w:tcW w:w="1703" w:type="dxa"/>
            <w:vMerge w:val="restart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u w:val="none" w:color="000000"/>
                <w:lang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缙云县</w:t>
            </w:r>
            <w:r>
              <w:rPr>
                <w:rFonts w:hint="eastAsia" w:ascii="仿宋_GB2312" w:hAnsi="宋体" w:cs="宋体"/>
                <w:sz w:val="28"/>
                <w:szCs w:val="28"/>
                <w:lang w:eastAsia="zh-CN"/>
              </w:rPr>
              <w:t>双溪口</w:t>
            </w: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乡</w:t>
            </w:r>
            <w:r>
              <w:rPr>
                <w:rFonts w:hint="eastAsia" w:ascii="仿宋_GB2312" w:hAnsi="宋体" w:cs="宋体"/>
                <w:sz w:val="28"/>
                <w:szCs w:val="28"/>
                <w:lang w:eastAsia="zh-CN"/>
              </w:rPr>
              <w:t>东里村</w:t>
            </w:r>
          </w:p>
        </w:tc>
        <w:tc>
          <w:tcPr>
            <w:tcW w:w="2722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80" w:lineRule="exact"/>
              <w:rPr>
                <w:rFonts w:hint="default" w:ascii="微软雅黑 !important" w:hAnsi="微软雅黑 !important" w:eastAsia="微软雅黑 !important" w:cs="微软雅黑 !important"/>
                <w:i w:val="0"/>
                <w:iCs w:val="0"/>
                <w:caps w:val="0"/>
                <w:color w:val="383B4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 !important" w:hAnsi="微软雅黑 !important" w:eastAsia="微软雅黑 !important" w:cs="微软雅黑 !important"/>
                <w:i w:val="0"/>
                <w:iCs w:val="0"/>
                <w:caps w:val="0"/>
                <w:color w:val="383B40"/>
                <w:spacing w:val="0"/>
                <w:sz w:val="21"/>
                <w:szCs w:val="21"/>
                <w:shd w:val="clear" w:color="auto" w:fill="FFFFFF"/>
                <w:lang w:eastAsia="zh-CN"/>
              </w:rPr>
              <w:t>《</w:t>
            </w:r>
            <w:r>
              <w:rPr>
                <w:rFonts w:hint="default" w:ascii="微软雅黑 !important" w:hAnsi="微软雅黑 !important" w:eastAsia="微软雅黑 !important" w:cs="微软雅黑 !important"/>
                <w:i w:val="0"/>
                <w:iCs w:val="0"/>
                <w:caps w:val="0"/>
                <w:color w:val="383B40"/>
                <w:spacing w:val="0"/>
                <w:sz w:val="21"/>
                <w:szCs w:val="21"/>
                <w:shd w:val="clear" w:color="auto" w:fill="FFFFFF"/>
                <w:lang w:eastAsia="zh-CN"/>
              </w:rPr>
              <w:t>中华人民共和国民法典》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微软雅黑 !important" w:hAnsi="微软雅黑 !important" w:eastAsia="微软雅黑 !important" w:cs="微软雅黑 !important"/>
                <w:i w:val="0"/>
                <w:iCs w:val="0"/>
                <w:caps w:val="0"/>
                <w:color w:val="383B40"/>
                <w:spacing w:val="0"/>
                <w:sz w:val="21"/>
                <w:szCs w:val="21"/>
                <w:shd w:val="clear" w:color="auto" w:fill="FFFFFF"/>
                <w:lang w:eastAsia="zh-CN"/>
              </w:rPr>
              <w:t>《</w:t>
            </w:r>
            <w:r>
              <w:rPr>
                <w:rFonts w:ascii="微软雅黑 !important" w:hAnsi="微软雅黑 !important" w:eastAsia="微软雅黑 !important" w:cs="微软雅黑 !important"/>
                <w:i w:val="0"/>
                <w:iCs w:val="0"/>
                <w:caps w:val="0"/>
                <w:color w:val="383B40"/>
                <w:spacing w:val="0"/>
                <w:sz w:val="21"/>
                <w:szCs w:val="21"/>
                <w:shd w:val="clear" w:color="auto" w:fill="FFFFFF"/>
              </w:rPr>
              <w:t>浙江省大型群众性活动安全等级管理工作规范</w:t>
            </w:r>
            <w:r>
              <w:rPr>
                <w:rFonts w:hint="eastAsia" w:ascii="微软雅黑 !important" w:hAnsi="微软雅黑 !important" w:eastAsia="微软雅黑 !important" w:cs="微软雅黑 !important"/>
                <w:i w:val="0"/>
                <w:iCs w:val="0"/>
                <w:caps w:val="0"/>
                <w:color w:val="383B40"/>
                <w:spacing w:val="0"/>
                <w:sz w:val="21"/>
                <w:szCs w:val="21"/>
                <w:shd w:val="clear" w:color="auto" w:fill="FFFFFF"/>
                <w:lang w:eastAsia="zh-CN"/>
              </w:rPr>
              <w:t>》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u w:val="none" w:color="000000"/>
              </w:rPr>
              <w:t>公众参与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u w:val="none" w:color="000000"/>
              </w:rPr>
              <w:t>（公开征求意见）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u w:val="none" w:color="000000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2024年6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16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both"/>
              <w:textAlignment w:val="baseline"/>
              <w:rPr>
                <w:rFonts w:ascii="仿宋_GB2312" w:hAnsi="宋体" w:eastAsia="仿宋_GB2312" w:cs="宋体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15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both"/>
              <w:textAlignment w:val="baseline"/>
              <w:rPr>
                <w:rFonts w:ascii="仿宋_GB2312" w:hAnsi="宋体" w:eastAsia="仿宋_GB2312" w:cs="宋体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170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both"/>
              <w:textAlignment w:val="baseline"/>
              <w:rPr>
                <w:rFonts w:ascii="仿宋_GB2312" w:hAnsi="宋体" w:eastAsia="仿宋_GB2312" w:cs="宋体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2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both"/>
              <w:textAlignment w:val="baseline"/>
              <w:rPr>
                <w:rFonts w:ascii="仿宋_GB2312" w:hAnsi="宋体" w:eastAsia="仿宋_GB2312" w:cs="宋体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2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u w:val="none" w:color="000000"/>
              </w:rPr>
              <w:t>专家论证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u w:val="none" w:color="000000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16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both"/>
              <w:textAlignment w:val="baseline"/>
              <w:rPr>
                <w:rFonts w:ascii="仿宋_GB2312" w:hAnsi="宋体" w:eastAsia="仿宋_GB2312" w:cs="宋体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15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both"/>
              <w:textAlignment w:val="baseline"/>
              <w:rPr>
                <w:rFonts w:ascii="仿宋_GB2312" w:hAnsi="宋体" w:eastAsia="仿宋_GB2312" w:cs="宋体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170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both"/>
              <w:textAlignment w:val="baseline"/>
              <w:rPr>
                <w:rFonts w:ascii="仿宋_GB2312" w:hAnsi="宋体" w:eastAsia="仿宋_GB2312" w:cs="宋体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2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both"/>
              <w:textAlignment w:val="baseline"/>
              <w:rPr>
                <w:rFonts w:ascii="仿宋_GB2312" w:hAnsi="宋体" w:eastAsia="仿宋_GB2312" w:cs="宋体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2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u w:val="none" w:color="000000"/>
              </w:rPr>
              <w:t>风险评估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16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both"/>
              <w:textAlignment w:val="baseline"/>
              <w:rPr>
                <w:rFonts w:ascii="仿宋_GB2312" w:hAnsi="宋体" w:eastAsia="仿宋_GB2312" w:cs="宋体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15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both"/>
              <w:textAlignment w:val="baseline"/>
              <w:rPr>
                <w:rFonts w:ascii="仿宋_GB2312" w:hAnsi="宋体" w:eastAsia="仿宋_GB2312" w:cs="宋体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170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both"/>
              <w:textAlignment w:val="baseline"/>
              <w:rPr>
                <w:rFonts w:ascii="仿宋_GB2312" w:hAnsi="宋体" w:eastAsia="仿宋_GB2312" w:cs="宋体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2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both"/>
              <w:textAlignment w:val="baseline"/>
              <w:rPr>
                <w:rFonts w:ascii="仿宋_GB2312" w:hAnsi="宋体" w:eastAsia="仿宋_GB2312" w:cs="宋体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2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u w:val="none" w:color="000000"/>
              </w:rPr>
              <w:t>合法性审查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u w:val="none" w:color="000000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2024年7月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16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both"/>
              <w:textAlignment w:val="baseline"/>
              <w:rPr>
                <w:rFonts w:ascii="仿宋_GB2312" w:hAnsi="宋体" w:eastAsia="仿宋_GB2312" w:cs="宋体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15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both"/>
              <w:textAlignment w:val="baseline"/>
              <w:rPr>
                <w:rFonts w:ascii="仿宋_GB2312" w:hAnsi="宋体" w:eastAsia="仿宋_GB2312" w:cs="宋体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170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both"/>
              <w:textAlignment w:val="baseline"/>
              <w:rPr>
                <w:rFonts w:ascii="仿宋_GB2312" w:hAnsi="宋体" w:eastAsia="仿宋_GB2312" w:cs="宋体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2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both"/>
              <w:textAlignment w:val="baseline"/>
              <w:rPr>
                <w:rFonts w:ascii="仿宋_GB2312" w:hAnsi="宋体" w:eastAsia="仿宋_GB2312" w:cs="宋体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2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u w:val="none" w:color="000000"/>
              </w:rPr>
              <w:t>集体讨论决定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u w:val="none" w:color="000000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2024年8月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宋体" w:hAnsi="宋体" w:eastAsia="宋体" w:cs="宋体"/>
          <w:color w:val="000000"/>
          <w:sz w:val="21"/>
          <w:szCs w:val="21"/>
          <w:u w:val="none" w:color="000000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 w:color="000000"/>
        </w:rPr>
        <w:t>注：1.公众参与方式还包括座谈会、听证会、实地走访、书面征求意见、向社会公开征求意见、问卷调查、民意调查等；公开征求意见的期</w:t>
      </w:r>
    </w:p>
    <w:p>
      <w:pPr>
        <w:spacing w:line="600" w:lineRule="exact"/>
        <w:rPr>
          <w:rFonts w:hint="default"/>
          <w:lang w:val="e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 w:color="000000"/>
        </w:rPr>
        <w:t>限一般不少于30日。2.专家论证、风险评估程序根据决策事项需要履行，非必经程序。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 !important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52164A"/>
    <w:multiLevelType w:val="singleLevel"/>
    <w:tmpl w:val="D05216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87E7A"/>
    <w:rsid w:val="7B58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2024-03-20T09:08:00Z</dcterms:created>
  <dc:creator>缙云县双溪口乡文书</dc:creator>
  <cp:lastModifiedBy>缙云县双溪口乡文书</cp:lastModifiedBy>
  <dcterms:modified xsi:type="dcterms:W3CDTF">2024-03-20T09:08:26Z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