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36"/>
          <w:szCs w:val="36"/>
        </w:rPr>
      </w:pPr>
      <w:r>
        <w:rPr>
          <w:rFonts w:hint="eastAsia" w:ascii="方正大标宋简体" w:eastAsia="方正大标宋简体"/>
          <w:sz w:val="36"/>
          <w:szCs w:val="36"/>
        </w:rPr>
        <w:t>缙云县</w:t>
      </w:r>
      <w:r>
        <w:rPr>
          <w:rFonts w:hint="eastAsia" w:ascii="方正大标宋简体" w:eastAsia="方正大标宋简体"/>
          <w:sz w:val="36"/>
          <w:szCs w:val="36"/>
          <w:lang w:eastAsia="zh-CN"/>
        </w:rPr>
        <w:t>三溪乡</w:t>
      </w:r>
      <w:r>
        <w:rPr>
          <w:rFonts w:hint="eastAsia" w:ascii="方正大标宋简体" w:eastAsia="方正大标宋简体"/>
          <w:sz w:val="36"/>
          <w:szCs w:val="36"/>
        </w:rPr>
        <w:t>基层政务公开标准目录</w:t>
      </w:r>
    </w:p>
    <w:p>
      <w:pPr>
        <w:widowControl/>
        <w:jc w:val="left"/>
        <w:rPr>
          <w:rFonts w:ascii="仿宋" w:hAnsi="仿宋" w:eastAsia="仿宋"/>
          <w:sz w:val="18"/>
          <w:szCs w:val="18"/>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（一）义务教育领域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540" w:type="dxa"/>
            <w:noWrap/>
            <w:vAlign w:val="center"/>
          </w:tcPr>
          <w:p>
            <w:pP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noWrap/>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、《国务院关于进一步完善城乡义务教育经费保障机制的通知》</w:t>
            </w:r>
          </w:p>
          <w:p>
            <w:pPr>
              <w:rPr>
                <w:rFonts w:ascii="仿宋_GB2312" w:hAnsi="宋体" w:eastAsia="仿宋_GB2312" w:cs="宋体"/>
                <w:color w:val="000000"/>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，当地省市县表彰文件</w:t>
            </w:r>
          </w:p>
          <w:p>
            <w:pPr>
              <w:rPr>
                <w:rFonts w:ascii="仿宋_GB2312" w:hAnsi="宋体" w:eastAsia="仿宋_GB2312" w:cs="宋体"/>
                <w:color w:val="000000"/>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ascii="仿宋_GB2312" w:hAnsi="仿宋" w:eastAsia="仿宋_GB2312"/>
                <w:color w:val="000000"/>
                <w:sz w:val="18"/>
                <w:szCs w:val="18"/>
              </w:rPr>
              <w:t>/</w:t>
            </w:r>
            <w:r>
              <w:rPr>
                <w:rFonts w:hint="eastAsia" w:ascii="仿宋_GB2312" w:hAnsi="仿宋" w:eastAsia="仿宋_GB2312"/>
                <w:color w:val="000000"/>
                <w:sz w:val="18"/>
                <w:szCs w:val="18"/>
              </w:rPr>
              <w:t>企事业单位</w:t>
            </w:r>
            <w:r>
              <w:rPr>
                <w:rFonts w:ascii="仿宋_GB2312" w:hAnsi="仿宋" w:eastAsia="仿宋_GB2312"/>
                <w:color w:val="000000"/>
                <w:sz w:val="18"/>
                <w:szCs w:val="18"/>
              </w:rPr>
              <w:t>/</w:t>
            </w:r>
            <w:r>
              <w:rPr>
                <w:rFonts w:hint="eastAsia" w:ascii="仿宋_GB2312" w:hAnsi="仿宋" w:eastAsia="仿宋_GB2312"/>
                <w:color w:val="000000"/>
                <w:sz w:val="18"/>
                <w:szCs w:val="18"/>
              </w:rPr>
              <w:t>村公示栏（电子屏）</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40" w:type="dxa"/>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r>
              <w:rPr>
                <w:rFonts w:ascii="仿宋_GB2312" w:hAnsi="宋体" w:eastAsia="仿宋_GB2312"/>
                <w:color w:val="000000"/>
                <w:sz w:val="18"/>
                <w:szCs w:val="18"/>
              </w:rPr>
              <w:t>4</w:t>
            </w:r>
          </w:p>
        </w:tc>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p>
            <w:pPr>
              <w:jc w:val="cente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、《人力资源社会保障部教育部关于印发深化中小学教师职称制度改革的指导意见的通知》</w:t>
            </w:r>
          </w:p>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olor w:val="000000"/>
                <w:sz w:val="18"/>
                <w:szCs w:val="18"/>
              </w:rPr>
            </w:pPr>
          </w:p>
          <w:p>
            <w:pPr>
              <w:jc w:val="center"/>
              <w:rPr>
                <w:rFonts w:ascii="仿宋_GB2312" w:hAnsi="仿宋" w:eastAsia="仿宋_GB2312"/>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eastAsia="方正小标宋_GBK"/>
          <w:sz w:val="28"/>
          <w:szCs w:val="28"/>
        </w:rPr>
      </w:pPr>
    </w:p>
    <w:p>
      <w:pPr>
        <w:jc w:val="center"/>
        <w:rPr>
          <w:rFonts w:eastAsia="方正小标宋_GBK"/>
          <w:sz w:val="28"/>
          <w:szCs w:val="28"/>
        </w:rPr>
      </w:pPr>
    </w:p>
    <w:p>
      <w:pPr>
        <w:jc w:val="cente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（二）户籍管理领域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color w:val="000000"/>
                <w:kern w:val="0"/>
                <w:sz w:val="22"/>
              </w:rPr>
            </w:pPr>
            <w:r>
              <w:rPr>
                <w:rFonts w:hint="eastAsia"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《户口登记条例》、《收养法》、《中国公民收养子女登记办法》、《国籍法》、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《公安部关于公民手术变性后变更户口登记性别项目有关问题的批复》、</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《中国公民民族成份登记管理办法》、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《港澳台居民居住证申领发放办法》、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《港澳台居民居住证申领发放办法》、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《临时居民身份证管理办法》、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方正小标宋_GBK" w:hAnsi="方正小标宋_GBK" w:eastAsia="方正小标宋_GBK"/>
          <w:b w:val="0"/>
          <w:bCs w:val="0"/>
          <w:sz w:val="30"/>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Times New Roman" w:hAnsi="Times New Roman" w:eastAsia="方正小标宋_GBK"/>
          <w:sz w:val="28"/>
          <w:szCs w:val="28"/>
        </w:rPr>
      </w:pPr>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（五）财政预决算领域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kern w:val="0"/>
                <w:sz w:val="22"/>
              </w:rPr>
            </w:pPr>
            <w:r>
              <w:rPr>
                <w:rFonts w:hint="eastAsia"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财政预决算</w:t>
            </w:r>
          </w:p>
          <w:p>
            <w:pPr>
              <w:jc w:val="center"/>
              <w:textAlignment w:val="center"/>
              <w:rPr>
                <w:rFonts w:ascii="仿宋_GB2312" w:hAnsi="宋体" w:eastAsia="仿宋_GB2312"/>
                <w:sz w:val="18"/>
                <w:szCs w:val="18"/>
              </w:rPr>
            </w:pPr>
          </w:p>
        </w:tc>
        <w:tc>
          <w:tcPr>
            <w:tcW w:w="720"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rPr>
              <w:t>部门</w:t>
            </w:r>
            <w:r>
              <w:rPr>
                <w:rFonts w:ascii="仿宋_GB2312" w:hAnsi="宋体" w:eastAsia="仿宋_GB2312"/>
                <w:sz w:val="18"/>
                <w:szCs w:val="18"/>
              </w:rPr>
              <w:br w:type="textWrapping"/>
            </w:r>
            <w:r>
              <w:rPr>
                <w:rFonts w:hint="eastAsia" w:ascii="仿宋_GB2312" w:hAnsi="宋体" w:eastAsia="仿宋_GB2312"/>
                <w:sz w:val="18"/>
                <w:szCs w:val="18"/>
              </w:rPr>
              <w:t>预算</w:t>
            </w:r>
          </w:p>
        </w:tc>
        <w:tc>
          <w:tcPr>
            <w:tcW w:w="32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《预算法》、</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、《财政部关于印发</w:t>
            </w:r>
            <w:r>
              <w:rPr>
                <w:rFonts w:ascii="仿宋_GB2312" w:hAnsi="宋体" w:eastAsia="仿宋_GB2312"/>
                <w:sz w:val="18"/>
                <w:szCs w:val="18"/>
              </w:rPr>
              <w:t>&lt;</w:t>
            </w:r>
            <w:r>
              <w:rPr>
                <w:rFonts w:hint="eastAsia" w:ascii="仿宋_GB2312" w:hAnsi="宋体" w:eastAsia="仿宋_GB2312"/>
                <w:sz w:val="18"/>
                <w:szCs w:val="18"/>
              </w:rPr>
              <w:t>地方预决算公开操作规程的通知</w:t>
            </w:r>
            <w:r>
              <w:rPr>
                <w:rFonts w:ascii="仿宋_GB2312" w:hAnsi="宋体" w:eastAsia="仿宋_GB2312"/>
                <w:sz w:val="18"/>
                <w:szCs w:val="18"/>
              </w:rPr>
              <w:t>&gt;</w:t>
            </w:r>
            <w:r>
              <w:rPr>
                <w:rFonts w:hint="eastAsia" w:ascii="仿宋_GB2312" w:hAnsi="宋体" w:eastAsia="仿宋_GB2312"/>
                <w:sz w:val="18"/>
                <w:szCs w:val="18"/>
              </w:rPr>
              <w:t>》等法律法规和文件规定</w:t>
            </w:r>
          </w:p>
        </w:tc>
        <w:tc>
          <w:tcPr>
            <w:tcW w:w="162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本级政府财政部门批复后</w:t>
            </w:r>
            <w:r>
              <w:rPr>
                <w:rFonts w:ascii="仿宋_GB2312" w:hAnsi="宋体" w:eastAsia="仿宋_GB2312"/>
                <w:sz w:val="18"/>
                <w:szCs w:val="18"/>
              </w:rPr>
              <w:t>20</w:t>
            </w:r>
            <w:r>
              <w:rPr>
                <w:rFonts w:hint="eastAsia" w:ascii="仿宋_GB2312" w:hAnsi="宋体" w:eastAsia="仿宋_GB2312"/>
                <w:sz w:val="18"/>
                <w:szCs w:val="18"/>
              </w:rPr>
              <w:t>日内</w:t>
            </w:r>
          </w:p>
        </w:tc>
        <w:tc>
          <w:tcPr>
            <w:tcW w:w="9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地方各级预算部门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■部门网站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■政府公报</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Merge w:val="restart"/>
            <w:vAlign w:val="center"/>
          </w:tcPr>
          <w:p>
            <w:pPr>
              <w:widowControl/>
              <w:jc w:val="center"/>
              <w:textAlignment w:val="center"/>
              <w:rPr>
                <w:rFonts w:ascii="仿宋_GB2312" w:hAnsi="宋体" w:eastAsia="仿宋_GB2312"/>
                <w:sz w:val="18"/>
                <w:szCs w:val="18"/>
              </w:rPr>
            </w:pPr>
          </w:p>
        </w:tc>
        <w:tc>
          <w:tcPr>
            <w:tcW w:w="551"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Align w:val="center"/>
          </w:tcPr>
          <w:p>
            <w:pPr>
              <w:widowControl/>
              <w:jc w:val="center"/>
              <w:textAlignment w:val="center"/>
              <w:rPr>
                <w:rFonts w:ascii="仿宋_GB2312" w:hAnsi="宋体" w:eastAsia="仿宋_GB2312"/>
                <w:color w:val="000000"/>
                <w:sz w:val="18"/>
                <w:szCs w:val="18"/>
              </w:rPr>
            </w:pPr>
          </w:p>
        </w:tc>
        <w:tc>
          <w:tcPr>
            <w:tcW w:w="1620" w:type="dxa"/>
            <w:vAlign w:val="center"/>
          </w:tcPr>
          <w:p>
            <w:pPr>
              <w:widowControl/>
              <w:jc w:val="center"/>
              <w:textAlignment w:val="center"/>
              <w:rPr>
                <w:rFonts w:ascii="仿宋_GB2312" w:hAnsi="宋体" w:eastAsia="仿宋_GB2312"/>
                <w:color w:val="000000"/>
                <w:sz w:val="18"/>
                <w:szCs w:val="18"/>
              </w:rPr>
            </w:pPr>
          </w:p>
        </w:tc>
        <w:tc>
          <w:tcPr>
            <w:tcW w:w="900" w:type="dxa"/>
            <w:vAlign w:val="center"/>
          </w:tcPr>
          <w:p>
            <w:pPr>
              <w:widowControl/>
              <w:jc w:val="center"/>
              <w:textAlignment w:val="center"/>
              <w:rPr>
                <w:rFonts w:ascii="仿宋_GB2312" w:hAnsi="宋体" w:eastAsia="仿宋_GB2312"/>
                <w:color w:val="000000"/>
                <w:sz w:val="18"/>
                <w:szCs w:val="18"/>
              </w:rPr>
            </w:pPr>
          </w:p>
        </w:tc>
        <w:tc>
          <w:tcPr>
            <w:tcW w:w="180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ind w:firstLine="90" w:firstLineChars="50"/>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（六）就业领域</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eastAsia="方正小标宋_GBK"/>
          <w:sz w:val="28"/>
          <w:szCs w:val="28"/>
        </w:rPr>
      </w:pPr>
    </w:p>
    <w:p/>
    <w:p>
      <w:pPr>
        <w:rPr>
          <w:rFonts w:eastAsia="方正小标宋_GBK"/>
          <w:sz w:val="28"/>
          <w:szCs w:val="28"/>
        </w:rPr>
      </w:pPr>
    </w:p>
    <w:p>
      <w:pPr>
        <w:pStyle w:val="2"/>
        <w:jc w:val="center"/>
        <w:rPr>
          <w:rFonts w:hint="eastAsia" w:ascii="方正小标宋_GBK" w:hAnsi="方正小标宋_GBK" w:eastAsia="方正小标宋_GBK"/>
          <w:b w:val="0"/>
          <w:bCs w:val="0"/>
          <w:sz w:val="30"/>
        </w:rPr>
      </w:pPr>
      <w:bookmarkStart w:id="0" w:name="_Toc24724713"/>
      <w:r>
        <w:rPr>
          <w:rFonts w:hint="eastAsia" w:ascii="方正小标宋_GBK" w:hAnsi="方正小标宋_GBK" w:eastAsia="方正小标宋_GBK"/>
          <w:b w:val="0"/>
          <w:bCs w:val="0"/>
          <w:sz w:val="30"/>
        </w:rPr>
        <w:t>（七）社会保险领域</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、《社会保险法》、《劳动保险条例》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、《社会保险法》、《国务院办公厅关于转发人力资源社会保障部财政部城镇企业职工基本养老保险关系转移接续暂行办法的通知》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、《社会保险法》、《劳动保险条例》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、《社会保险法》《人力资源社会保障部财政部关于印发＜城乡养老保险制度衔接暂行办法＞的通知》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、《社会保险法》、《人力资源社会保障部财政部总参谋部总政治部总后勤部关于军人退役基本养老保险关系转移接续有关问题的通知》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、《社会保险法》、《人力资源和社会保障部＜关于贯彻落实国务院办公厅转发城镇企业职工基本养老保险关系转移接续暂行办法的通知》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、《社会保险法》、《企业年金办法》</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、《社会保险法》、《企业年金办法》</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（八）自然资源领域</w:t>
      </w:r>
    </w:p>
    <w:tbl>
      <w:tblPr>
        <w:tblStyle w:val="1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415" w:type="dxa"/>
            <w:vMerge w:val="restart"/>
            <w:tcBorders>
              <w:top w:val="single" w:color="auto" w:sz="4" w:space="0"/>
              <w:left w:val="single" w:color="auto" w:sz="4" w:space="0"/>
              <w:right w:val="single" w:color="auto" w:sz="4" w:space="0"/>
            </w:tcBorders>
            <w:vAlign w:val="top"/>
          </w:tcPr>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line="266"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w:t>
            </w:r>
          </w:p>
        </w:tc>
        <w:tc>
          <w:tcPr>
            <w:tcW w:w="659" w:type="dxa"/>
            <w:vMerge w:val="restart"/>
            <w:tcBorders>
              <w:top w:val="single" w:color="auto" w:sz="4" w:space="0"/>
              <w:left w:val="single" w:color="auto" w:sz="4" w:space="0"/>
              <w:right w:val="single" w:color="auto" w:sz="4" w:space="0"/>
            </w:tcBorders>
            <w:vAlign w:val="center"/>
          </w:tcPr>
          <w:p>
            <w:pPr>
              <w:spacing w:before="68" w:line="263" w:lineRule="auto"/>
              <w:ind w:left="100" w:leftChars="0" w:right="98" w:rightChars="0"/>
              <w:jc w:val="center"/>
              <w:rPr>
                <w:rFonts w:ascii="宋体" w:hAnsi="宋体" w:eastAsia="宋体" w:cs="宋体"/>
                <w:spacing w:val="4"/>
                <w:sz w:val="20"/>
                <w:szCs w:val="20"/>
                <w:u w:val="none"/>
              </w:rPr>
            </w:pPr>
            <w:r>
              <w:rPr>
                <w:rFonts w:ascii="宋体" w:hAnsi="宋体" w:eastAsia="宋体" w:cs="宋体"/>
                <w:spacing w:val="4"/>
                <w:sz w:val="20"/>
                <w:szCs w:val="20"/>
                <w:u w:val="none"/>
              </w:rPr>
              <w:t>国土 空间 规划 编制</w:t>
            </w:r>
          </w:p>
          <w:p>
            <w:pPr>
              <w:spacing w:line="257" w:lineRule="auto"/>
              <w:jc w:val="center"/>
              <w:rPr>
                <w:rFonts w:ascii="Arial"/>
                <w:sz w:val="21"/>
                <w:u w:val="none"/>
              </w:rPr>
            </w:pPr>
          </w:p>
          <w:p>
            <w:pPr>
              <w:spacing w:line="257" w:lineRule="auto"/>
              <w:jc w:val="center"/>
              <w:rPr>
                <w:rFonts w:ascii="Arial"/>
                <w:sz w:val="21"/>
                <w:u w:val="none"/>
              </w:rPr>
            </w:pPr>
          </w:p>
          <w:p>
            <w:pPr>
              <w:spacing w:line="258" w:lineRule="auto"/>
              <w:jc w:val="center"/>
              <w:rPr>
                <w:rFonts w:ascii="Arial"/>
                <w:sz w:val="21"/>
                <w:u w:val="none"/>
              </w:rPr>
            </w:pPr>
          </w:p>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273" w:lineRule="auto"/>
              <w:jc w:val="center"/>
              <w:rPr>
                <w:rFonts w:ascii="Arial"/>
                <w:sz w:val="21"/>
                <w:u w:val="none"/>
              </w:rPr>
            </w:pPr>
          </w:p>
          <w:p>
            <w:pPr>
              <w:spacing w:line="273" w:lineRule="auto"/>
              <w:jc w:val="center"/>
              <w:rPr>
                <w:rFonts w:ascii="Arial"/>
                <w:sz w:val="21"/>
                <w:u w:val="none"/>
              </w:rPr>
            </w:pPr>
          </w:p>
          <w:p>
            <w:pPr>
              <w:spacing w:line="273" w:lineRule="auto"/>
              <w:jc w:val="center"/>
              <w:rPr>
                <w:rFonts w:ascii="Arial"/>
                <w:sz w:val="21"/>
                <w:u w:val="none"/>
              </w:rPr>
            </w:pPr>
          </w:p>
          <w:p>
            <w:pPr>
              <w:spacing w:line="274" w:lineRule="auto"/>
              <w:jc w:val="center"/>
              <w:rPr>
                <w:rFonts w:ascii="Arial"/>
                <w:sz w:val="21"/>
                <w:u w:val="none"/>
              </w:rPr>
            </w:pPr>
          </w:p>
          <w:p>
            <w:pPr>
              <w:spacing w:line="274" w:lineRule="auto"/>
              <w:jc w:val="center"/>
              <w:rPr>
                <w:rFonts w:ascii="Arial"/>
                <w:sz w:val="21"/>
                <w:u w:val="none"/>
              </w:rPr>
            </w:pPr>
          </w:p>
          <w:p>
            <w:pPr>
              <w:spacing w:line="272" w:lineRule="auto"/>
              <w:jc w:val="center"/>
              <w:rPr>
                <w:rFonts w:ascii="Arial"/>
                <w:sz w:val="21"/>
                <w:u w:val="none"/>
              </w:rPr>
            </w:pPr>
            <w:r>
              <w:rPr>
                <w:rFonts w:ascii="Arial"/>
                <w:sz w:val="21"/>
                <w:u w:val="none"/>
              </w:rPr>
              <w:t>详细规划</w:t>
            </w:r>
          </w:p>
          <w:p>
            <w:pPr>
              <w:spacing w:line="272" w:lineRule="auto"/>
              <w:jc w:val="center"/>
              <w:rPr>
                <w:rFonts w:ascii="Arial"/>
                <w:sz w:val="21"/>
                <w:u w:val="none"/>
              </w:rPr>
            </w:pPr>
            <w:r>
              <w:rPr>
                <w:rFonts w:ascii="Arial"/>
                <w:sz w:val="21"/>
                <w:u w:val="none"/>
              </w:rPr>
              <w:t>(城镇开</w:t>
            </w:r>
          </w:p>
          <w:p>
            <w:pPr>
              <w:spacing w:line="272" w:lineRule="auto"/>
              <w:jc w:val="center"/>
              <w:rPr>
                <w:rFonts w:ascii="Arial"/>
                <w:sz w:val="21"/>
                <w:u w:val="none"/>
              </w:rPr>
            </w:pPr>
            <w:r>
              <w:rPr>
                <w:rFonts w:ascii="Arial"/>
                <w:sz w:val="21"/>
                <w:u w:val="none"/>
              </w:rPr>
              <w:t>发边界</w:t>
            </w:r>
          </w:p>
          <w:p>
            <w:pPr>
              <w:spacing w:line="272" w:lineRule="auto"/>
              <w:jc w:val="center"/>
              <w:rPr>
                <w:rFonts w:ascii="宋体" w:hAnsi="宋体" w:eastAsia="宋体" w:cs="宋体"/>
                <w:kern w:val="2"/>
                <w:sz w:val="21"/>
                <w:szCs w:val="21"/>
                <w:u w:val="none"/>
                <w:lang w:val="en-US" w:eastAsia="zh-CN" w:bidi="ar-SA"/>
              </w:rPr>
            </w:pPr>
            <w:r>
              <w:rPr>
                <w:rFonts w:ascii="Arial"/>
                <w:sz w:val="21"/>
                <w:u w:val="none"/>
              </w:rPr>
              <w:t>内 )</w:t>
            </w:r>
          </w:p>
        </w:tc>
        <w:tc>
          <w:tcPr>
            <w:tcW w:w="1725" w:type="dxa"/>
            <w:tcBorders>
              <w:top w:val="single" w:color="auto" w:sz="4" w:space="0"/>
              <w:left w:val="single" w:color="auto" w:sz="4" w:space="0"/>
              <w:bottom w:val="single" w:color="auto" w:sz="4" w:space="0"/>
              <w:right w:val="single" w:color="auto" w:sz="4" w:space="0"/>
            </w:tcBorders>
            <w:vAlign w:val="top"/>
          </w:tcPr>
          <w:p>
            <w:pPr>
              <w:spacing w:before="68" w:line="219" w:lineRule="auto"/>
              <w:ind w:left="51"/>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批前公示：规划草案</w:t>
            </w:r>
            <w:r>
              <w:rPr>
                <w:rFonts w:ascii="宋体" w:hAnsi="宋体" w:eastAsia="宋体" w:cs="宋体"/>
                <w:spacing w:val="9"/>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规规定不予公开的</w:t>
            </w:r>
            <w:r>
              <w:rPr>
                <w:rFonts w:ascii="宋体" w:hAnsi="宋体" w:eastAsia="宋体" w:cs="宋体"/>
                <w:sz w:val="20"/>
                <w:szCs w:val="20"/>
                <w:u w:val="none"/>
              </w:rPr>
              <w:t xml:space="preserve"> </w:t>
            </w:r>
            <w:r>
              <w:rPr>
                <w:rFonts w:ascii="宋体" w:hAnsi="宋体" w:eastAsia="宋体" w:cs="宋体"/>
                <w:spacing w:val="21"/>
                <w:sz w:val="20"/>
                <w:szCs w:val="20"/>
                <w:u w:val="none"/>
              </w:rPr>
              <w:t>除外)</w:t>
            </w:r>
          </w:p>
        </w:tc>
        <w:tc>
          <w:tcPr>
            <w:tcW w:w="2300" w:type="dxa"/>
            <w:vMerge w:val="restart"/>
            <w:tcBorders>
              <w:top w:val="single" w:color="auto" w:sz="4" w:space="0"/>
              <w:left w:val="single" w:color="auto" w:sz="4" w:space="0"/>
              <w:right w:val="single" w:color="auto" w:sz="4" w:space="0"/>
            </w:tcBorders>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5" w:line="270" w:lineRule="auto"/>
              <w:ind w:left="103" w:leftChars="0" w:firstLine="4" w:firstLineChars="0"/>
              <w:jc w:val="center"/>
              <w:rPr>
                <w:rFonts w:hint="eastAsia" w:ascii="宋体" w:hAnsi="宋体" w:eastAsia="宋体" w:cs="宋体"/>
                <w:kern w:val="2"/>
                <w:sz w:val="20"/>
                <w:szCs w:val="20"/>
                <w:u w:val="none"/>
                <w:lang w:val="en-US" w:eastAsia="zh-CN" w:bidi="ar-SA"/>
              </w:rPr>
            </w:pPr>
            <w:r>
              <w:rPr>
                <w:rFonts w:ascii="宋体" w:hAnsi="宋体" w:eastAsia="宋体" w:cs="宋体"/>
                <w:spacing w:val="9"/>
                <w:sz w:val="20"/>
                <w:szCs w:val="20"/>
                <w:u w:val="none"/>
              </w:rPr>
              <w:t>《土地管理法》《城</w:t>
            </w:r>
            <w:r>
              <w:rPr>
                <w:rFonts w:ascii="宋体" w:hAnsi="宋体" w:eastAsia="宋体" w:cs="宋体"/>
                <w:spacing w:val="4"/>
                <w:sz w:val="20"/>
                <w:szCs w:val="20"/>
                <w:u w:val="none"/>
              </w:rPr>
              <w:t xml:space="preserve"> </w:t>
            </w:r>
            <w:r>
              <w:rPr>
                <w:rFonts w:ascii="宋体" w:hAnsi="宋体" w:eastAsia="宋体" w:cs="宋体"/>
                <w:spacing w:val="12"/>
                <w:sz w:val="20"/>
                <w:szCs w:val="20"/>
                <w:u w:val="none"/>
              </w:rPr>
              <w:t>乡规划法》</w:t>
            </w:r>
            <w:r>
              <w:rPr>
                <w:rFonts w:hint="eastAsia" w:ascii="宋体" w:hAnsi="宋体" w:cs="宋体"/>
                <w:spacing w:val="12"/>
                <w:sz w:val="20"/>
                <w:szCs w:val="20"/>
                <w:u w:val="none"/>
                <w:lang w:eastAsia="zh-CN"/>
              </w:rPr>
              <w:t>《中华人民共和国政府信息公开条例》</w:t>
            </w:r>
          </w:p>
        </w:tc>
        <w:tc>
          <w:tcPr>
            <w:tcW w:w="1784" w:type="dxa"/>
            <w:tcBorders>
              <w:top w:val="single" w:color="auto" w:sz="4" w:space="0"/>
              <w:left w:val="single" w:color="auto" w:sz="4" w:space="0"/>
              <w:right w:val="single" w:color="auto" w:sz="4" w:space="0"/>
            </w:tcBorders>
            <w:vAlign w:val="top"/>
          </w:tcPr>
          <w:p>
            <w:pPr>
              <w:spacing w:line="362" w:lineRule="auto"/>
              <w:jc w:val="center"/>
              <w:rPr>
                <w:rFonts w:ascii="Arial"/>
                <w:sz w:val="20"/>
                <w:szCs w:val="20"/>
                <w:u w:val="none"/>
              </w:rPr>
            </w:pPr>
          </w:p>
          <w:p>
            <w:pPr>
              <w:spacing w:before="68" w:line="258" w:lineRule="auto"/>
              <w:ind w:left="85" w:right="90" w:firstLine="30"/>
              <w:jc w:val="center"/>
              <w:rPr>
                <w:rFonts w:ascii="宋体" w:hAnsi="宋体" w:eastAsia="宋体" w:cs="宋体"/>
                <w:spacing w:val="-2"/>
                <w:sz w:val="20"/>
                <w:szCs w:val="20"/>
                <w:u w:val="none"/>
              </w:rPr>
            </w:pPr>
          </w:p>
          <w:p>
            <w:pPr>
              <w:spacing w:before="68" w:line="258" w:lineRule="auto"/>
              <w:ind w:left="85" w:right="90" w:firstLine="30"/>
              <w:jc w:val="center"/>
              <w:rPr>
                <w:rFonts w:ascii="宋体" w:hAnsi="宋体" w:eastAsia="宋体" w:cs="宋体"/>
                <w:spacing w:val="12"/>
                <w:sz w:val="20"/>
                <w:szCs w:val="20"/>
                <w:u w:val="none"/>
              </w:rPr>
            </w:pPr>
            <w:r>
              <w:rPr>
                <w:rFonts w:ascii="宋体" w:hAnsi="宋体" w:eastAsia="宋体" w:cs="宋体"/>
                <w:spacing w:val="-2"/>
                <w:sz w:val="20"/>
                <w:szCs w:val="20"/>
                <w:u w:val="none"/>
              </w:rPr>
              <w:t>批前公示时</w:t>
            </w:r>
            <w:r>
              <w:rPr>
                <w:rFonts w:ascii="宋体" w:hAnsi="宋体" w:eastAsia="宋体" w:cs="宋体"/>
                <w:spacing w:val="8"/>
                <w:sz w:val="20"/>
                <w:szCs w:val="20"/>
                <w:u w:val="none"/>
              </w:rPr>
              <w:t>间不得少于</w:t>
            </w:r>
            <w:r>
              <w:rPr>
                <w:rFonts w:ascii="宋体" w:hAnsi="宋体" w:eastAsia="宋体" w:cs="宋体"/>
                <w:spacing w:val="12"/>
                <w:sz w:val="20"/>
                <w:szCs w:val="20"/>
                <w:u w:val="none"/>
              </w:rPr>
              <w:t>30日</w:t>
            </w:r>
          </w:p>
          <w:p>
            <w:pPr>
              <w:spacing w:before="68" w:line="258" w:lineRule="auto"/>
              <w:ind w:right="90" w:rightChars="0"/>
              <w:jc w:val="both"/>
              <w:rPr>
                <w:rFonts w:ascii="宋体" w:hAnsi="宋体" w:eastAsia="宋体" w:cs="宋体"/>
                <w:spacing w:val="12"/>
                <w:kern w:val="2"/>
                <w:sz w:val="20"/>
                <w:szCs w:val="20"/>
                <w:u w:val="none"/>
                <w:lang w:val="en-US" w:eastAsia="zh-CN" w:bidi="ar-SA"/>
              </w:rPr>
            </w:pPr>
          </w:p>
        </w:tc>
        <w:tc>
          <w:tcPr>
            <w:tcW w:w="1853" w:type="dxa"/>
            <w:vMerge w:val="restart"/>
            <w:tcBorders>
              <w:top w:val="single" w:color="auto" w:sz="4" w:space="0"/>
              <w:left w:val="single" w:color="auto" w:sz="4" w:space="0"/>
              <w:right w:val="single" w:color="auto" w:sz="4" w:space="0"/>
            </w:tcBorders>
            <w:vAlign w:val="top"/>
          </w:tcPr>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before="68" w:line="246" w:lineRule="auto"/>
              <w:ind w:right="158" w:righ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Merge w:val="restart"/>
            <w:tcBorders>
              <w:top w:val="single" w:color="auto" w:sz="4" w:space="0"/>
              <w:left w:val="single" w:color="auto" w:sz="4" w:space="0"/>
              <w:right w:val="single" w:color="auto" w:sz="4" w:space="0"/>
            </w:tcBorders>
            <w:vAlign w:val="center"/>
          </w:tcPr>
          <w:p>
            <w:pPr>
              <w:spacing w:line="259" w:lineRule="auto"/>
              <w:jc w:val="both"/>
              <w:rPr>
                <w:rFonts w:ascii="Arial"/>
                <w:sz w:val="21"/>
                <w:u w:val="none"/>
              </w:rPr>
            </w:pPr>
          </w:p>
          <w:p>
            <w:pPr>
              <w:spacing w:line="259" w:lineRule="auto"/>
              <w:jc w:val="both"/>
              <w:rPr>
                <w:rFonts w:ascii="Arial"/>
                <w:sz w:val="21"/>
                <w:u w:val="none"/>
              </w:rPr>
            </w:pPr>
          </w:p>
          <w:p>
            <w:pPr>
              <w:spacing w:line="260" w:lineRule="auto"/>
              <w:jc w:val="both"/>
              <w:rPr>
                <w:rFonts w:ascii="Arial"/>
                <w:sz w:val="21"/>
                <w:u w:val="none"/>
              </w:rPr>
            </w:pPr>
          </w:p>
          <w:p>
            <w:pPr>
              <w:spacing w:before="101" w:line="219" w:lineRule="auto"/>
              <w:jc w:val="both"/>
              <w:rPr>
                <w:rFonts w:ascii="宋体" w:hAnsi="宋体" w:eastAsia="宋体" w:cs="宋体"/>
                <w:spacing w:val="11"/>
                <w:sz w:val="21"/>
                <w:szCs w:val="21"/>
                <w:u w:val="none"/>
              </w:rPr>
            </w:pPr>
            <w:r>
              <w:rPr>
                <w:rFonts w:ascii="宋体" w:hAnsi="宋体" w:eastAsia="宋体" w:cs="宋体"/>
                <w:sz w:val="21"/>
                <w:szCs w:val="21"/>
                <w:u w:val="none"/>
              </w:rPr>
              <w:t>■</w:t>
            </w:r>
            <w:r>
              <w:rPr>
                <w:rFonts w:ascii="宋体" w:hAnsi="宋体" w:eastAsia="宋体" w:cs="宋体"/>
                <w:spacing w:val="11"/>
                <w:sz w:val="21"/>
                <w:szCs w:val="21"/>
                <w:u w:val="none"/>
              </w:rPr>
              <w:t>政府网站</w:t>
            </w:r>
          </w:p>
          <w:p>
            <w:pPr>
              <w:spacing w:before="101" w:line="219" w:lineRule="auto"/>
              <w:jc w:val="both"/>
              <w:rPr>
                <w:rFonts w:ascii="宋体" w:hAnsi="宋体" w:eastAsia="宋体" w:cs="宋体"/>
                <w:sz w:val="21"/>
                <w:szCs w:val="21"/>
                <w:u w:val="none"/>
              </w:rPr>
            </w:pPr>
            <w:r>
              <w:rPr>
                <w:rFonts w:ascii="宋体" w:hAnsi="宋体" w:eastAsia="宋体" w:cs="宋体"/>
                <w:spacing w:val="-56"/>
                <w:sz w:val="21"/>
                <w:szCs w:val="21"/>
                <w:u w:val="none"/>
              </w:rPr>
              <w:t xml:space="preserve"> </w:t>
            </w:r>
            <w:r>
              <w:rPr>
                <w:rFonts w:ascii="宋体" w:hAnsi="宋体" w:eastAsia="宋体" w:cs="宋体"/>
                <w:spacing w:val="1"/>
                <w:sz w:val="21"/>
                <w:szCs w:val="21"/>
                <w:u w:val="none"/>
              </w:rPr>
              <w:t>■发布会/听证会</w:t>
            </w:r>
          </w:p>
          <w:p>
            <w:pPr>
              <w:spacing w:before="120"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25"/>
                <w:sz w:val="21"/>
                <w:szCs w:val="21"/>
                <w:u w:val="none"/>
              </w:rPr>
              <w:t>■其他</w:t>
            </w:r>
            <w:r>
              <w:rPr>
                <w:rFonts w:hint="eastAsia" w:ascii="宋体" w:hAnsi="宋体" w:eastAsia="宋体" w:cs="宋体"/>
                <w:spacing w:val="1"/>
                <w:sz w:val="21"/>
                <w:szCs w:val="21"/>
                <w:u w:val="none"/>
                <w:lang w:val="en-US" w:eastAsia="zh-CN"/>
              </w:rPr>
              <w:t xml:space="preserve">     </w:t>
            </w:r>
          </w:p>
        </w:tc>
        <w:tc>
          <w:tcPr>
            <w:tcW w:w="406"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30"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37" w:hRule="atLeast"/>
        </w:trPr>
        <w:tc>
          <w:tcPr>
            <w:tcW w:w="415"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659" w:type="dxa"/>
            <w:vMerge w:val="continue"/>
            <w:tcBorders>
              <w:left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099"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725" w:type="dxa"/>
            <w:tcBorders>
              <w:top w:val="single" w:color="auto" w:sz="4" w:space="0"/>
              <w:left w:val="single" w:color="auto" w:sz="4" w:space="0"/>
              <w:bottom w:val="single" w:color="auto" w:sz="4" w:space="0"/>
              <w:right w:val="single" w:color="auto" w:sz="4" w:space="0"/>
            </w:tcBorders>
            <w:vAlign w:val="top"/>
          </w:tcPr>
          <w:p>
            <w:pPr>
              <w:spacing w:before="275" w:line="258" w:lineRule="auto"/>
              <w:ind w:left="51" w:right="47"/>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7"/>
                <w:sz w:val="20"/>
                <w:szCs w:val="20"/>
                <w:u w:val="none"/>
              </w:rPr>
              <w:t>件(涉密信息、法律</w:t>
            </w:r>
            <w:r>
              <w:rPr>
                <w:rFonts w:ascii="宋体" w:hAnsi="宋体" w:eastAsia="宋体" w:cs="宋体"/>
                <w:spacing w:val="-2"/>
                <w:sz w:val="20"/>
                <w:szCs w:val="20"/>
                <w:u w:val="none"/>
              </w:rPr>
              <w:t>法规规定不予公开</w:t>
            </w:r>
            <w:r>
              <w:rPr>
                <w:rFonts w:ascii="宋体" w:hAnsi="宋体" w:eastAsia="宋体" w:cs="宋体"/>
                <w:spacing w:val="5"/>
                <w:sz w:val="20"/>
                <w:szCs w:val="20"/>
                <w:u w:val="none"/>
              </w:rPr>
              <w:t xml:space="preserve"> </w:t>
            </w:r>
            <w:r>
              <w:rPr>
                <w:rFonts w:ascii="宋体" w:hAnsi="宋体" w:eastAsia="宋体" w:cs="宋体"/>
                <w:spacing w:val="10"/>
                <w:sz w:val="20"/>
                <w:szCs w:val="20"/>
                <w:u w:val="none"/>
              </w:rPr>
              <w:t>的除外)</w:t>
            </w:r>
          </w:p>
        </w:tc>
        <w:tc>
          <w:tcPr>
            <w:tcW w:w="2300"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784" w:type="dxa"/>
            <w:tcBorders>
              <w:left w:val="single" w:color="auto" w:sz="4" w:space="0"/>
              <w:bottom w:val="single" w:color="auto" w:sz="4" w:space="0"/>
              <w:right w:val="single" w:color="auto" w:sz="4" w:space="0"/>
            </w:tcBorders>
            <w:vAlign w:val="top"/>
          </w:tcPr>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1"/>
                <w:sz w:val="20"/>
                <w:szCs w:val="20"/>
                <w:u w:val="none"/>
                <w:lang w:val="en-US" w:eastAsia="zh-CN"/>
              </w:rPr>
            </w:pPr>
            <w:r>
              <w:rPr>
                <w:rFonts w:ascii="宋体" w:hAnsi="宋体" w:eastAsia="宋体" w:cs="宋体"/>
                <w:spacing w:val="2"/>
                <w:sz w:val="20"/>
                <w:szCs w:val="20"/>
                <w:u w:val="none"/>
              </w:rPr>
              <w:t>收到政府信</w:t>
            </w:r>
            <w:r>
              <w:rPr>
                <w:rFonts w:ascii="宋体" w:hAnsi="宋体" w:eastAsia="宋体" w:cs="宋体"/>
                <w:spacing w:val="1"/>
                <w:sz w:val="20"/>
                <w:szCs w:val="20"/>
                <w:u w:val="none"/>
              </w:rPr>
              <w:t>息公开申请</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814" w:type="dxa"/>
            <w:vMerge w:val="continue"/>
            <w:tcBorders>
              <w:left w:val="single" w:color="auto" w:sz="4" w:space="0"/>
              <w:bottom w:val="single" w:color="auto" w:sz="4" w:space="0"/>
              <w:right w:val="single" w:color="auto" w:sz="4" w:space="0"/>
            </w:tcBorders>
            <w:vAlign w:val="center"/>
          </w:tcPr>
          <w:p>
            <w:pPr>
              <w:spacing w:before="61" w:line="276" w:lineRule="auto"/>
              <w:ind w:left="102" w:leftChars="0" w:firstLine="119" w:firstLineChars="0"/>
              <w:rPr>
                <w:rFonts w:ascii="宋体" w:hAnsi="宋体" w:eastAsia="宋体" w:cs="宋体"/>
                <w:spacing w:val="21"/>
                <w:sz w:val="20"/>
                <w:szCs w:val="20"/>
                <w:u w:val="none"/>
                <w:lang w:val="en-US" w:eastAsia="zh-CN"/>
              </w:rPr>
            </w:pPr>
          </w:p>
        </w:tc>
        <w:tc>
          <w:tcPr>
            <w:tcW w:w="406"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2"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8"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00"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30" w:type="dxa"/>
            <w:vMerge w:val="continue"/>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4"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rPr>
                <w:rFonts w:ascii="宋体" w:hAnsi="宋体" w:eastAsia="宋体" w:cs="宋体"/>
                <w:spacing w:val="21"/>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trPr>
        <w:tc>
          <w:tcPr>
            <w:tcW w:w="415" w:type="dxa"/>
            <w:vMerge w:val="restart"/>
            <w:tcBorders>
              <w:top w:val="single" w:color="auto" w:sz="4" w:space="0"/>
              <w:left w:val="single" w:color="auto" w:sz="4" w:space="0"/>
              <w:right w:val="single" w:color="auto" w:sz="4" w:space="0"/>
            </w:tcBorders>
            <w:vAlign w:val="top"/>
          </w:tcPr>
          <w:p>
            <w:pPr>
              <w:spacing w:line="263"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2</w:t>
            </w:r>
          </w:p>
        </w:tc>
        <w:tc>
          <w:tcPr>
            <w:tcW w:w="659" w:type="dxa"/>
            <w:vMerge w:val="continue"/>
            <w:tcBorders>
              <w:left w:val="single" w:color="auto" w:sz="4" w:space="0"/>
              <w:right w:val="single" w:color="auto" w:sz="4" w:space="0"/>
            </w:tcBorders>
            <w:vAlign w:val="top"/>
          </w:tcPr>
          <w:p>
            <w:pPr>
              <w:spacing w:before="68" w:line="265"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305" w:lineRule="auto"/>
              <w:jc w:val="center"/>
              <w:rPr>
                <w:rFonts w:ascii="Arial"/>
                <w:sz w:val="21"/>
                <w:u w:val="none"/>
              </w:rPr>
            </w:pPr>
          </w:p>
          <w:p>
            <w:pPr>
              <w:spacing w:line="306" w:lineRule="auto"/>
              <w:jc w:val="center"/>
              <w:rPr>
                <w:rFonts w:ascii="Arial"/>
                <w:sz w:val="21"/>
                <w:u w:val="none"/>
              </w:rPr>
            </w:pPr>
          </w:p>
          <w:p>
            <w:pPr>
              <w:spacing w:line="306" w:lineRule="auto"/>
              <w:jc w:val="center"/>
              <w:rPr>
                <w:rFonts w:ascii="Arial"/>
                <w:sz w:val="21"/>
                <w:u w:val="none"/>
              </w:rPr>
            </w:pPr>
          </w:p>
          <w:p>
            <w:pPr>
              <w:spacing w:before="69" w:line="219" w:lineRule="auto"/>
              <w:ind w:left="141"/>
              <w:jc w:val="center"/>
              <w:rPr>
                <w:rFonts w:ascii="宋体" w:hAnsi="宋体" w:eastAsia="宋体" w:cs="宋体"/>
                <w:sz w:val="21"/>
                <w:szCs w:val="21"/>
                <w:u w:val="none"/>
              </w:rPr>
            </w:pPr>
            <w:r>
              <w:rPr>
                <w:rFonts w:ascii="宋体" w:hAnsi="宋体" w:eastAsia="宋体" w:cs="宋体"/>
                <w:spacing w:val="11"/>
                <w:sz w:val="21"/>
                <w:szCs w:val="21"/>
                <w:u w:val="none"/>
              </w:rPr>
              <w:t>乡(镇)</w:t>
            </w:r>
          </w:p>
          <w:p>
            <w:pPr>
              <w:spacing w:before="94" w:line="250" w:lineRule="auto"/>
              <w:ind w:left="171" w:leftChars="0" w:right="6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国土空间</w:t>
            </w:r>
            <w:r>
              <w:rPr>
                <w:rFonts w:ascii="宋体" w:hAnsi="宋体" w:eastAsia="宋体" w:cs="宋体"/>
                <w:sz w:val="21"/>
                <w:szCs w:val="21"/>
                <w:u w:val="none"/>
              </w:rPr>
              <w:t xml:space="preserve"> </w:t>
            </w:r>
            <w:r>
              <w:rPr>
                <w:rFonts w:ascii="宋体" w:hAnsi="宋体" w:eastAsia="宋体" w:cs="宋体"/>
                <w:spacing w:val="3"/>
                <w:sz w:val="21"/>
                <w:szCs w:val="21"/>
                <w:u w:val="none"/>
              </w:rPr>
              <w:t>总体规划</w:t>
            </w:r>
          </w:p>
        </w:tc>
        <w:tc>
          <w:tcPr>
            <w:tcW w:w="1725" w:type="dxa"/>
            <w:tcBorders>
              <w:top w:val="single" w:color="auto" w:sz="4" w:space="0"/>
              <w:left w:val="single" w:color="auto" w:sz="4" w:space="0"/>
              <w:bottom w:val="single" w:color="auto" w:sz="4" w:space="0"/>
              <w:right w:val="single" w:color="auto" w:sz="4" w:space="0"/>
            </w:tcBorders>
            <w:vAlign w:val="top"/>
          </w:tcPr>
          <w:p>
            <w:pPr>
              <w:spacing w:before="63" w:line="261" w:lineRule="auto"/>
              <w:ind w:left="101" w:leftChars="0" w:right="78" w:rightChars="0" w:hanging="80" w:firstLineChars="0"/>
              <w:jc w:val="center"/>
              <w:rPr>
                <w:rFonts w:ascii="宋体" w:hAnsi="宋体" w:eastAsia="宋体" w:cs="宋体"/>
                <w:spacing w:val="-1"/>
                <w:sz w:val="20"/>
                <w:szCs w:val="20"/>
                <w:u w:val="none"/>
              </w:rPr>
            </w:pPr>
          </w:p>
          <w:p>
            <w:pPr>
              <w:spacing w:before="63" w:line="261" w:lineRule="auto"/>
              <w:ind w:left="101" w:leftChars="0" w:right="78" w:rightChars="0" w:hanging="8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3"/>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规规定不予公开的</w:t>
            </w:r>
            <w:r>
              <w:rPr>
                <w:rFonts w:ascii="宋体" w:hAnsi="宋体" w:eastAsia="宋体" w:cs="宋体"/>
                <w:spacing w:val="13"/>
                <w:sz w:val="20"/>
                <w:szCs w:val="20"/>
                <w:u w:val="none"/>
              </w:rPr>
              <w:t>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12" w:lineRule="auto"/>
              <w:jc w:val="center"/>
              <w:rPr>
                <w:rFonts w:ascii="Arial"/>
                <w:sz w:val="20"/>
                <w:szCs w:val="20"/>
                <w:u w:val="none"/>
              </w:rPr>
            </w:pPr>
          </w:p>
          <w:p>
            <w:pPr>
              <w:spacing w:line="312" w:lineRule="auto"/>
              <w:jc w:val="center"/>
              <w:rPr>
                <w:rFonts w:ascii="Arial"/>
                <w:sz w:val="20"/>
                <w:szCs w:val="20"/>
                <w:u w:val="none"/>
              </w:rPr>
            </w:pPr>
          </w:p>
          <w:p>
            <w:pPr>
              <w:spacing w:before="68" w:line="258" w:lineRule="auto"/>
              <w:ind w:right="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《土地管理法》《城</w:t>
            </w:r>
            <w:r>
              <w:rPr>
                <w:rFonts w:ascii="宋体" w:hAnsi="宋体" w:eastAsia="宋体" w:cs="宋体"/>
                <w:spacing w:val="5"/>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27"/>
                <w:sz w:val="20"/>
                <w:szCs w:val="20"/>
                <w:u w:val="none"/>
              </w:rPr>
              <w:t>息公开条例》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214" w:line="266" w:lineRule="auto"/>
              <w:ind w:left="106" w:leftChars="0" w:right="60" w:rightChars="0" w:firstLine="60" w:firstLineChars="0"/>
              <w:jc w:val="center"/>
              <w:rPr>
                <w:rFonts w:ascii="宋体" w:hAnsi="宋体" w:eastAsia="宋体" w:cs="宋体"/>
                <w:spacing w:val="-2"/>
                <w:sz w:val="20"/>
                <w:szCs w:val="20"/>
                <w:u w:val="none"/>
              </w:rPr>
            </w:pPr>
          </w:p>
          <w:p>
            <w:pPr>
              <w:spacing w:before="214" w:line="266"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
                <w:sz w:val="20"/>
                <w:szCs w:val="20"/>
                <w:u w:val="none"/>
              </w:rPr>
              <w:t xml:space="preserve"> </w:t>
            </w:r>
            <w:r>
              <w:rPr>
                <w:rFonts w:ascii="宋体" w:hAnsi="宋体" w:eastAsia="宋体" w:cs="宋体"/>
                <w:spacing w:val="12"/>
                <w:sz w:val="20"/>
                <w:szCs w:val="20"/>
                <w:u w:val="none"/>
              </w:rPr>
              <w:t>30日</w:t>
            </w:r>
          </w:p>
        </w:tc>
        <w:tc>
          <w:tcPr>
            <w:tcW w:w="1853"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1"/>
                <w:u w:val="none"/>
              </w:rPr>
            </w:pPr>
          </w:p>
          <w:p>
            <w:pPr>
              <w:spacing w:line="263"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7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tcBorders>
              <w:top w:val="single" w:color="auto" w:sz="4" w:space="0"/>
              <w:left w:val="single" w:color="auto" w:sz="4" w:space="0"/>
              <w:right w:val="single" w:color="auto" w:sz="4" w:space="0"/>
            </w:tcBorders>
            <w:vAlign w:val="center"/>
          </w:tcPr>
          <w:p>
            <w:pPr>
              <w:spacing w:before="101" w:line="370" w:lineRule="exact"/>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01" w:line="370" w:lineRule="exact"/>
              <w:jc w:val="both"/>
              <w:rPr>
                <w:rFonts w:ascii="宋体" w:hAnsi="宋体" w:eastAsia="宋体" w:cs="宋体"/>
                <w:sz w:val="21"/>
                <w:szCs w:val="21"/>
                <w:u w:val="none"/>
              </w:rPr>
            </w:pPr>
            <w:r>
              <w:rPr>
                <w:rFonts w:ascii="宋体" w:hAnsi="宋体" w:eastAsia="宋体" w:cs="宋体"/>
                <w:position w:val="12"/>
                <w:sz w:val="21"/>
                <w:szCs w:val="21"/>
                <w:u w:val="none"/>
              </w:rPr>
              <w:t>■发布会/听证会</w:t>
            </w:r>
          </w:p>
          <w:p>
            <w:pPr>
              <w:spacing w:line="219" w:lineRule="auto"/>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11" w:line="219" w:lineRule="auto"/>
              <w:jc w:val="both"/>
              <w:rPr>
                <w:rFonts w:ascii="宋体" w:hAnsi="宋体" w:eastAsia="宋体" w:cs="宋体"/>
                <w:kern w:val="2"/>
                <w:sz w:val="21"/>
                <w:szCs w:val="21"/>
                <w:u w:val="none"/>
                <w:lang w:val="en-US" w:eastAsia="zh-CN" w:bidi="ar-SA"/>
              </w:rPr>
            </w:pPr>
          </w:p>
        </w:tc>
        <w:tc>
          <w:tcPr>
            <w:tcW w:w="406"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tcBorders>
              <w:top w:val="single" w:color="auto" w:sz="4" w:space="0"/>
              <w:left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tcBorders>
              <w:top w:val="single" w:color="auto" w:sz="4" w:space="0"/>
              <w:left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ind w:left="141" w:leftChars="0"/>
              <w:rPr>
                <w:rFonts w:ascii="宋体" w:hAnsi="宋体" w:eastAsia="宋体" w:cs="宋体"/>
                <w:sz w:val="21"/>
                <w:szCs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hint="eastAsia"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415" w:type="dxa"/>
            <w:vMerge w:val="continue"/>
            <w:tcBorders>
              <w:left w:val="single" w:color="auto" w:sz="4" w:space="0"/>
              <w:right w:val="single" w:color="auto" w:sz="4" w:space="0"/>
            </w:tcBorders>
          </w:tcPr>
          <w:p>
            <w:pPr>
              <w:spacing w:before="68" w:line="183" w:lineRule="auto"/>
              <w:ind w:left="44" w:leftChars="0"/>
              <w:jc w:val="center"/>
              <w:rPr>
                <w:rFonts w:ascii="宋体" w:hAnsi="宋体" w:eastAsia="宋体" w:cs="宋体"/>
                <w:spacing w:val="-3"/>
                <w:sz w:val="21"/>
                <w:szCs w:val="21"/>
                <w:u w:val="none"/>
              </w:rPr>
            </w:pPr>
          </w:p>
        </w:tc>
        <w:tc>
          <w:tcPr>
            <w:tcW w:w="659" w:type="dxa"/>
            <w:vMerge w:val="continue"/>
            <w:tcBorders>
              <w:left w:val="single" w:color="auto" w:sz="4" w:space="0"/>
              <w:right w:val="single" w:color="auto" w:sz="4" w:space="0"/>
            </w:tcBorders>
          </w:tcPr>
          <w:p>
            <w:pPr>
              <w:spacing w:before="60" w:line="265" w:lineRule="auto"/>
              <w:ind w:left="109" w:leftChars="0" w:right="98" w:rightChars="0"/>
              <w:jc w:val="center"/>
              <w:rPr>
                <w:rFonts w:ascii="宋体" w:hAnsi="宋体" w:eastAsia="宋体" w:cs="宋体"/>
                <w:spacing w:val="4"/>
                <w:sz w:val="20"/>
                <w:szCs w:val="20"/>
                <w:u w:val="none"/>
              </w:rPr>
            </w:pPr>
          </w:p>
        </w:tc>
        <w:tc>
          <w:tcPr>
            <w:tcW w:w="1099" w:type="dxa"/>
            <w:vMerge w:val="continue"/>
            <w:tcBorders>
              <w:left w:val="single" w:color="auto" w:sz="4" w:space="0"/>
              <w:right w:val="single" w:color="auto" w:sz="4" w:space="0"/>
            </w:tcBorders>
          </w:tcPr>
          <w:p>
            <w:pPr>
              <w:spacing w:before="68" w:line="256" w:lineRule="auto"/>
              <w:ind w:left="90" w:leftChars="0" w:right="118" w:rightChars="0" w:firstLine="30" w:firstLineChars="0"/>
              <w:jc w:val="center"/>
              <w:rPr>
                <w:rFonts w:ascii="宋体" w:hAnsi="宋体" w:eastAsia="宋体" w:cs="宋体"/>
                <w:spacing w:val="-3"/>
                <w:sz w:val="20"/>
                <w:szCs w:val="20"/>
                <w:u w:val="none"/>
              </w:rPr>
            </w:pPr>
          </w:p>
        </w:tc>
        <w:tc>
          <w:tcPr>
            <w:tcW w:w="1725" w:type="dxa"/>
            <w:vAlign w:val="top"/>
          </w:tcPr>
          <w:p>
            <w:pPr>
              <w:spacing w:before="83" w:line="260" w:lineRule="auto"/>
              <w:ind w:right="67"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12"/>
                <w:sz w:val="20"/>
                <w:szCs w:val="20"/>
                <w:u w:val="none"/>
              </w:rPr>
              <w:t>件(涉密信息、法律</w:t>
            </w:r>
            <w:r>
              <w:rPr>
                <w:rFonts w:ascii="宋体" w:hAnsi="宋体" w:eastAsia="宋体" w:cs="宋体"/>
                <w:spacing w:val="4"/>
                <w:sz w:val="20"/>
                <w:szCs w:val="20"/>
                <w:u w:val="none"/>
              </w:rPr>
              <w:t xml:space="preserve"> </w:t>
            </w:r>
            <w:r>
              <w:rPr>
                <w:rFonts w:ascii="宋体" w:hAnsi="宋体" w:eastAsia="宋体" w:cs="宋体"/>
                <w:spacing w:val="10"/>
                <w:sz w:val="20"/>
                <w:szCs w:val="20"/>
                <w:u w:val="none"/>
              </w:rPr>
              <w:t>法规规定不予公开</w:t>
            </w:r>
            <w:r>
              <w:rPr>
                <w:rFonts w:ascii="宋体" w:hAnsi="宋体" w:eastAsia="宋体" w:cs="宋体"/>
                <w:sz w:val="20"/>
                <w:szCs w:val="20"/>
                <w:u w:val="none"/>
              </w:rPr>
              <w:t xml:space="preserve">  </w:t>
            </w:r>
            <w:r>
              <w:rPr>
                <w:rFonts w:ascii="宋体" w:hAnsi="宋体" w:eastAsia="宋体" w:cs="宋体"/>
                <w:spacing w:val="35"/>
                <w:sz w:val="20"/>
                <w:szCs w:val="20"/>
                <w:u w:val="none"/>
              </w:rPr>
              <w:t>的除外)</w:t>
            </w:r>
          </w:p>
        </w:tc>
        <w:tc>
          <w:tcPr>
            <w:tcW w:w="2300" w:type="dxa"/>
          </w:tcPr>
          <w:p>
            <w:pPr>
              <w:spacing w:before="195" w:line="261" w:lineRule="auto"/>
              <w:ind w:left="23" w:leftChars="0" w:right="3" w:rightChars="0" w:firstLine="65" w:firstLineChars="0"/>
              <w:jc w:val="center"/>
              <w:rPr>
                <w:rFonts w:ascii="宋体" w:hAnsi="宋体" w:eastAsia="宋体" w:cs="宋体"/>
                <w:spacing w:val="1"/>
                <w:sz w:val="20"/>
                <w:szCs w:val="20"/>
                <w:u w:val="none"/>
              </w:rPr>
            </w:pPr>
          </w:p>
        </w:tc>
        <w:tc>
          <w:tcPr>
            <w:tcW w:w="1784" w:type="dxa"/>
            <w:vAlign w:val="top"/>
          </w:tcPr>
          <w:p>
            <w:pPr>
              <w:spacing w:before="153" w:line="234" w:lineRule="auto"/>
              <w:ind w:left="126" w:right="80" w:firstLine="40"/>
              <w:jc w:val="center"/>
              <w:rPr>
                <w:rFonts w:ascii="宋体" w:hAnsi="宋体" w:eastAsia="宋体" w:cs="宋体"/>
                <w:spacing w:val="-2"/>
                <w:sz w:val="20"/>
                <w:szCs w:val="20"/>
                <w:u w:val="none"/>
              </w:rPr>
            </w:pPr>
          </w:p>
          <w:p>
            <w:pPr>
              <w:spacing w:before="153" w:line="234" w:lineRule="auto"/>
              <w:ind w:right="8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批后公布应</w:t>
            </w:r>
            <w:r>
              <w:rPr>
                <w:rFonts w:ascii="宋体" w:hAnsi="宋体" w:eastAsia="宋体" w:cs="宋体"/>
                <w:spacing w:val="6"/>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后20个工</w:t>
            </w:r>
            <w:r>
              <w:rPr>
                <w:rFonts w:ascii="宋体" w:hAnsi="宋体" w:eastAsia="宋体" w:cs="宋体"/>
                <w:spacing w:val="-2"/>
                <w:sz w:val="20"/>
                <w:szCs w:val="20"/>
                <w:u w:val="none"/>
              </w:rPr>
              <w:t>作日内向社会公布</w:t>
            </w:r>
          </w:p>
        </w:tc>
        <w:tc>
          <w:tcPr>
            <w:tcW w:w="1853" w:type="dxa"/>
          </w:tcPr>
          <w:p>
            <w:pPr>
              <w:spacing w:before="68" w:line="246" w:lineRule="auto"/>
              <w:ind w:left="196" w:leftChars="0" w:right="118" w:rightChars="0"/>
              <w:jc w:val="center"/>
              <w:rPr>
                <w:rFonts w:hint="eastAsia" w:ascii="宋体" w:hAnsi="宋体" w:eastAsia="宋体" w:cs="宋体"/>
                <w:spacing w:val="2"/>
                <w:sz w:val="20"/>
                <w:szCs w:val="20"/>
                <w:u w:val="none"/>
                <w:lang w:eastAsia="zh-CN"/>
              </w:rPr>
            </w:pPr>
          </w:p>
        </w:tc>
        <w:tc>
          <w:tcPr>
            <w:tcW w:w="1814" w:type="dxa"/>
            <w:vMerge w:val="continue"/>
            <w:tcBorders>
              <w:left w:val="single" w:color="auto" w:sz="4" w:space="0"/>
              <w:right w:val="single" w:color="auto" w:sz="4" w:space="0"/>
            </w:tcBorders>
          </w:tcPr>
          <w:p>
            <w:pPr>
              <w:spacing w:before="92" w:line="259" w:lineRule="auto"/>
              <w:ind w:right="186" w:rightChars="0"/>
              <w:jc w:val="both"/>
              <w:rPr>
                <w:rFonts w:ascii="宋体" w:hAnsi="宋体" w:eastAsia="宋体" w:cs="宋体"/>
                <w:sz w:val="21"/>
                <w:szCs w:val="21"/>
                <w:u w:val="none"/>
              </w:rPr>
            </w:pPr>
          </w:p>
        </w:tc>
        <w:tc>
          <w:tcPr>
            <w:tcW w:w="406"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12" w:type="dxa"/>
            <w:vMerge w:val="continue"/>
            <w:tcBorders>
              <w:left w:val="single" w:color="auto" w:sz="4" w:space="0"/>
              <w:right w:val="single" w:color="auto" w:sz="4" w:space="0"/>
            </w:tcBorders>
          </w:tcPr>
          <w:p>
            <w:pPr>
              <w:jc w:val="center"/>
              <w:rPr>
                <w:rFonts w:ascii="宋体" w:hAnsi="宋体" w:eastAsia="宋体" w:cs="宋体"/>
                <w:sz w:val="21"/>
                <w:szCs w:val="21"/>
                <w:u w:val="none"/>
                <w:lang w:val="en-US" w:eastAsia="zh-CN"/>
              </w:rPr>
            </w:pPr>
          </w:p>
        </w:tc>
        <w:tc>
          <w:tcPr>
            <w:tcW w:w="418"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00"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c>
          <w:tcPr>
            <w:tcW w:w="430" w:type="dxa"/>
            <w:vMerge w:val="continue"/>
            <w:tcBorders>
              <w:left w:val="single" w:color="auto" w:sz="4" w:space="0"/>
              <w:right w:val="single" w:color="auto" w:sz="4" w:space="0"/>
            </w:tcBorders>
          </w:tcPr>
          <w:p>
            <w:pPr>
              <w:spacing w:before="69" w:line="238" w:lineRule="auto"/>
              <w:ind w:left="150" w:leftChars="0"/>
              <w:jc w:val="center"/>
              <w:rPr>
                <w:rFonts w:ascii="宋体" w:hAnsi="宋体" w:eastAsia="宋体" w:cs="宋体"/>
                <w:sz w:val="21"/>
                <w:szCs w:val="21"/>
                <w:u w:val="none"/>
              </w:rPr>
            </w:pPr>
          </w:p>
        </w:tc>
        <w:tc>
          <w:tcPr>
            <w:tcW w:w="414"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Merge w:val="restart"/>
            <w:vAlign w:val="top"/>
          </w:tcPr>
          <w:p>
            <w:pPr>
              <w:spacing w:line="262" w:lineRule="auto"/>
              <w:jc w:val="center"/>
              <w:rPr>
                <w:rFonts w:ascii="Arial"/>
                <w:sz w:val="21"/>
                <w:u w:val="none"/>
              </w:rPr>
            </w:pPr>
          </w:p>
          <w:p>
            <w:pPr>
              <w:spacing w:line="262" w:lineRule="auto"/>
              <w:jc w:val="center"/>
              <w:rPr>
                <w:rFonts w:ascii="Arial"/>
                <w:sz w:val="21"/>
                <w:u w:val="none"/>
              </w:rPr>
            </w:pPr>
          </w:p>
          <w:p>
            <w:pPr>
              <w:spacing w:line="262" w:lineRule="auto"/>
              <w:jc w:val="center"/>
              <w:rPr>
                <w:rFonts w:ascii="Arial"/>
                <w:sz w:val="21"/>
                <w:u w:val="none"/>
              </w:rPr>
            </w:pPr>
          </w:p>
          <w:p>
            <w:pPr>
              <w:spacing w:line="263" w:lineRule="auto"/>
              <w:jc w:val="center"/>
              <w:rPr>
                <w:rFonts w:ascii="Arial"/>
                <w:sz w:val="21"/>
                <w:u w:val="none"/>
              </w:rPr>
            </w:pPr>
          </w:p>
          <w:p>
            <w:pPr>
              <w:spacing w:line="263" w:lineRule="auto"/>
              <w:jc w:val="center"/>
              <w:rPr>
                <w:rFonts w:ascii="Arial"/>
                <w:sz w:val="21"/>
                <w:u w:val="none"/>
              </w:rPr>
            </w:pPr>
          </w:p>
          <w:p>
            <w:pPr>
              <w:spacing w:before="68" w:line="183" w:lineRule="auto"/>
              <w:ind w:left="105"/>
              <w:jc w:val="center"/>
              <w:rPr>
                <w:rFonts w:hint="eastAsia" w:ascii="宋体" w:hAnsi="宋体" w:eastAsia="宋体" w:cs="宋体"/>
                <w:sz w:val="21"/>
                <w:szCs w:val="21"/>
                <w:u w:val="none"/>
                <w:lang w:eastAsia="zh-CN"/>
              </w:rPr>
            </w:pPr>
            <w:r>
              <w:rPr>
                <w:rFonts w:hint="eastAsia" w:ascii="宋体" w:hAnsi="宋体" w:eastAsia="宋体" w:cs="宋体"/>
                <w:spacing w:val="-3"/>
                <w:sz w:val="21"/>
                <w:szCs w:val="21"/>
                <w:u w:val="none"/>
                <w:lang w:val="en-US" w:eastAsia="zh-CN"/>
              </w:rPr>
              <w:t>3</w:t>
            </w:r>
          </w:p>
          <w:p>
            <w:pPr>
              <w:spacing w:before="109" w:line="448" w:lineRule="exact"/>
              <w:ind w:left="202"/>
              <w:jc w:val="center"/>
              <w:rPr>
                <w:rFonts w:ascii="宋体" w:hAnsi="宋体" w:eastAsia="宋体" w:cs="宋体"/>
                <w:sz w:val="27"/>
                <w:szCs w:val="27"/>
                <w:u w:val="none"/>
              </w:rPr>
            </w:pPr>
          </w:p>
          <w:p>
            <w:pPr>
              <w:spacing w:line="345" w:lineRule="auto"/>
              <w:jc w:val="center"/>
              <w:rPr>
                <w:rFonts w:ascii="Arial"/>
                <w:sz w:val="21"/>
                <w:u w:val="none"/>
              </w:rPr>
            </w:pPr>
          </w:p>
          <w:p>
            <w:pPr>
              <w:spacing w:before="88" w:line="192" w:lineRule="auto"/>
              <w:jc w:val="center"/>
              <w:rPr>
                <w:rFonts w:ascii="宋体" w:hAnsi="宋体" w:eastAsia="宋体" w:cs="宋体"/>
                <w:kern w:val="2"/>
                <w:sz w:val="27"/>
                <w:szCs w:val="27"/>
                <w:u w:val="none"/>
                <w:lang w:val="en-US" w:eastAsia="zh-CN" w:bidi="ar-SA"/>
              </w:rPr>
            </w:pPr>
          </w:p>
        </w:tc>
        <w:tc>
          <w:tcPr>
            <w:tcW w:w="659" w:type="dxa"/>
            <w:vMerge w:val="continue"/>
            <w:tcBorders>
              <w:left w:val="single" w:color="auto" w:sz="4" w:space="0"/>
              <w:right w:val="single" w:color="auto" w:sz="4" w:space="0"/>
            </w:tcBorders>
            <w:vAlign w:val="top"/>
          </w:tcPr>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vAlign w:val="top"/>
          </w:tcPr>
          <w:p>
            <w:pPr>
              <w:spacing w:line="251" w:lineRule="auto"/>
              <w:jc w:val="center"/>
              <w:rPr>
                <w:rFonts w:ascii="Arial"/>
                <w:sz w:val="21"/>
                <w:u w:val="none"/>
              </w:rPr>
            </w:pPr>
          </w:p>
          <w:p>
            <w:pPr>
              <w:spacing w:line="251" w:lineRule="auto"/>
              <w:jc w:val="center"/>
              <w:rPr>
                <w:rFonts w:ascii="Arial"/>
                <w:sz w:val="21"/>
                <w:u w:val="none"/>
              </w:rPr>
            </w:pPr>
          </w:p>
          <w:p>
            <w:pPr>
              <w:spacing w:line="251" w:lineRule="auto"/>
              <w:jc w:val="center"/>
              <w:rPr>
                <w:rFonts w:ascii="Arial"/>
                <w:sz w:val="21"/>
                <w:u w:val="none"/>
              </w:rPr>
            </w:pPr>
          </w:p>
          <w:p>
            <w:pPr>
              <w:spacing w:line="252" w:lineRule="auto"/>
              <w:jc w:val="center"/>
              <w:rPr>
                <w:rFonts w:ascii="Arial"/>
                <w:sz w:val="21"/>
                <w:u w:val="none"/>
              </w:rPr>
            </w:pPr>
          </w:p>
          <w:p>
            <w:pPr>
              <w:spacing w:line="252" w:lineRule="auto"/>
              <w:jc w:val="center"/>
              <w:rPr>
                <w:rFonts w:ascii="Arial"/>
                <w:sz w:val="21"/>
                <w:u w:val="none"/>
              </w:rPr>
            </w:pPr>
          </w:p>
          <w:p>
            <w:pPr>
              <w:spacing w:before="68" w:line="219" w:lineRule="auto"/>
              <w:ind w:left="171"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村庄规划</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75" w:line="280" w:lineRule="exact"/>
              <w:ind w:left="81" w:leftChars="0" w:right="78" w:rightChars="0" w:hanging="60" w:firstLine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5"/>
                <w:sz w:val="20"/>
                <w:szCs w:val="20"/>
                <w:u w:val="none"/>
              </w:rPr>
              <w:t>(涉密信息法律法</w:t>
            </w:r>
            <w:r>
              <w:rPr>
                <w:rFonts w:ascii="宋体" w:hAnsi="宋体" w:eastAsia="宋体" w:cs="宋体"/>
                <w:spacing w:val="6"/>
                <w:sz w:val="20"/>
                <w:szCs w:val="20"/>
                <w:u w:val="none"/>
              </w:rPr>
              <w:t xml:space="preserve"> </w:t>
            </w:r>
            <w:r>
              <w:rPr>
                <w:rFonts w:ascii="宋体" w:hAnsi="宋体" w:eastAsia="宋体" w:cs="宋体"/>
                <w:spacing w:val="5"/>
                <w:sz w:val="20"/>
                <w:szCs w:val="20"/>
                <w:u w:val="none"/>
              </w:rPr>
              <w:t>规规定不予公开的</w:t>
            </w:r>
            <w:r>
              <w:rPr>
                <w:rFonts w:ascii="宋体" w:hAnsi="宋体" w:eastAsia="宋体" w:cs="宋体"/>
                <w:spacing w:val="13"/>
                <w:sz w:val="20"/>
                <w:szCs w:val="20"/>
                <w:u w:val="none"/>
              </w:rPr>
              <w:t>除外)</w:t>
            </w:r>
          </w:p>
        </w:tc>
        <w:tc>
          <w:tcPr>
            <w:tcW w:w="2300" w:type="dxa"/>
            <w:vMerge w:val="restart"/>
            <w:vAlign w:val="top"/>
          </w:tcPr>
          <w:p>
            <w:pPr>
              <w:spacing w:line="313" w:lineRule="auto"/>
              <w:jc w:val="center"/>
              <w:rPr>
                <w:rFonts w:ascii="Arial"/>
                <w:sz w:val="20"/>
                <w:szCs w:val="20"/>
                <w:u w:val="none"/>
              </w:rPr>
            </w:pPr>
          </w:p>
          <w:p>
            <w:pPr>
              <w:spacing w:line="313" w:lineRule="auto"/>
              <w:jc w:val="center"/>
              <w:rPr>
                <w:rFonts w:ascii="Arial"/>
                <w:sz w:val="20"/>
                <w:szCs w:val="20"/>
                <w:u w:val="none"/>
              </w:rPr>
            </w:pPr>
          </w:p>
          <w:p>
            <w:pPr>
              <w:spacing w:line="313" w:lineRule="auto"/>
              <w:jc w:val="center"/>
              <w:rPr>
                <w:rFonts w:ascii="Arial"/>
                <w:sz w:val="20"/>
                <w:szCs w:val="20"/>
                <w:u w:val="none"/>
              </w:rPr>
            </w:pPr>
          </w:p>
          <w:p>
            <w:pPr>
              <w:spacing w:before="68" w:line="258" w:lineRule="auto"/>
              <w:ind w:left="43" w:leftChars="0" w:right="3" w:rightChars="0" w:firstLine="65"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《土地管理法》《城乡规划法》《政府信</w:t>
            </w:r>
            <w:r>
              <w:rPr>
                <w:rFonts w:ascii="宋体" w:hAnsi="宋体" w:eastAsia="宋体" w:cs="宋体"/>
                <w:spacing w:val="4"/>
                <w:sz w:val="20"/>
                <w:szCs w:val="20"/>
                <w:u w:val="none"/>
              </w:rPr>
              <w:t xml:space="preserve"> </w:t>
            </w:r>
            <w:r>
              <w:rPr>
                <w:rFonts w:ascii="宋体" w:hAnsi="宋体" w:eastAsia="宋体" w:cs="宋体"/>
                <w:spacing w:val="29"/>
                <w:sz w:val="20"/>
                <w:szCs w:val="20"/>
                <w:u w:val="none"/>
              </w:rPr>
              <w:t>息公开条例》</w:t>
            </w:r>
          </w:p>
        </w:tc>
        <w:tc>
          <w:tcPr>
            <w:tcW w:w="1784" w:type="dxa"/>
            <w:vAlign w:val="center"/>
          </w:tcPr>
          <w:p>
            <w:pPr>
              <w:spacing w:before="214" w:line="264"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2"/>
                <w:sz w:val="20"/>
                <w:szCs w:val="20"/>
                <w:u w:val="none"/>
              </w:rPr>
              <w:t>30日</w:t>
            </w:r>
          </w:p>
        </w:tc>
        <w:tc>
          <w:tcPr>
            <w:tcW w:w="1853" w:type="dxa"/>
            <w:vMerge w:val="restart"/>
            <w:vAlign w:val="top"/>
          </w:tcPr>
          <w:p>
            <w:pPr>
              <w:spacing w:line="260" w:lineRule="auto"/>
              <w:jc w:val="center"/>
              <w:rPr>
                <w:rFonts w:ascii="Arial"/>
                <w:sz w:val="21"/>
                <w:u w:val="none"/>
              </w:rPr>
            </w:pPr>
          </w:p>
          <w:p>
            <w:pPr>
              <w:spacing w:line="261" w:lineRule="auto"/>
              <w:jc w:val="center"/>
              <w:rPr>
                <w:rFonts w:ascii="Arial"/>
                <w:sz w:val="21"/>
                <w:u w:val="none"/>
              </w:rPr>
            </w:pPr>
          </w:p>
          <w:p>
            <w:pPr>
              <w:spacing w:line="261"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6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vAlign w:val="center"/>
          </w:tcPr>
          <w:p>
            <w:pPr>
              <w:spacing w:before="113" w:line="228" w:lineRule="auto"/>
              <w:jc w:val="both"/>
              <w:rPr>
                <w:rFonts w:ascii="宋体" w:hAnsi="宋体" w:eastAsia="宋体" w:cs="宋体"/>
                <w:sz w:val="20"/>
                <w:szCs w:val="20"/>
                <w:u w:val="none"/>
              </w:rPr>
            </w:pPr>
            <w:r>
              <w:rPr>
                <w:rFonts w:ascii="宋体" w:hAnsi="宋体" w:eastAsia="宋体" w:cs="宋体"/>
                <w:spacing w:val="1"/>
                <w:sz w:val="20"/>
                <w:szCs w:val="20"/>
                <w:u w:val="none"/>
              </w:rPr>
              <w:t>■发布会/听证会</w:t>
            </w:r>
          </w:p>
          <w:p>
            <w:pPr>
              <w:spacing w:before="91" w:line="271" w:lineRule="auto"/>
              <w:ind w:right="289" w:rightChars="0"/>
              <w:jc w:val="both"/>
              <w:rPr>
                <w:rFonts w:ascii="宋体" w:hAnsi="宋体" w:eastAsia="宋体" w:cs="宋体"/>
                <w:kern w:val="2"/>
                <w:sz w:val="20"/>
                <w:szCs w:val="20"/>
                <w:u w:val="none"/>
                <w:lang w:val="en-US" w:eastAsia="zh-CN" w:bidi="ar-SA"/>
              </w:rPr>
            </w:pPr>
            <w:r>
              <w:rPr>
                <w:rFonts w:ascii="宋体" w:hAnsi="宋体" w:eastAsia="宋体" w:cs="宋体"/>
                <w:sz w:val="21"/>
                <w:szCs w:val="21"/>
                <w:u w:val="none"/>
              </w:rPr>
              <w:t>■</w:t>
            </w:r>
            <w:r>
              <w:rPr>
                <w:rFonts w:ascii="宋体" w:hAnsi="宋体" w:eastAsia="宋体" w:cs="宋体"/>
                <w:spacing w:val="-1"/>
                <w:sz w:val="20"/>
                <w:szCs w:val="20"/>
                <w:u w:val="none"/>
              </w:rPr>
              <w:t>社区/企事业单位/村公示栏</w:t>
            </w:r>
            <w:r>
              <w:rPr>
                <w:rFonts w:ascii="宋体" w:hAnsi="宋体" w:eastAsia="宋体" w:cs="宋体"/>
                <w:spacing w:val="2"/>
                <w:sz w:val="20"/>
                <w:szCs w:val="20"/>
                <w:u w:val="none"/>
              </w:rPr>
              <w:t xml:space="preserve"> </w:t>
            </w:r>
          </w:p>
        </w:tc>
        <w:tc>
          <w:tcPr>
            <w:tcW w:w="406"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vMerge w:val="restart"/>
            <w:vAlign w:val="top"/>
          </w:tcPr>
          <w:p>
            <w:pPr>
              <w:jc w:val="center"/>
              <w:rPr>
                <w:rFonts w:ascii="宋体" w:hAnsi="宋体" w:eastAsia="宋体" w:cs="宋体"/>
                <w:sz w:val="21"/>
                <w:szCs w:val="21"/>
                <w:u w:val="none"/>
                <w:lang w:val="en-US" w:eastAsia="zh-CN"/>
              </w:rPr>
            </w:pPr>
          </w:p>
        </w:tc>
        <w:tc>
          <w:tcPr>
            <w:tcW w:w="418"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vMerge w:val="restart"/>
            <w:vAlign w:val="top"/>
          </w:tcPr>
          <w:p>
            <w:pPr>
              <w:jc w:val="center"/>
              <w:rPr>
                <w:rFonts w:ascii="宋体" w:hAnsi="宋体" w:eastAsia="宋体" w:cs="宋体"/>
                <w:sz w:val="21"/>
                <w:szCs w:val="21"/>
                <w:u w:val="none"/>
                <w:lang w:val="en-US" w:eastAsia="zh-CN"/>
              </w:rPr>
            </w:pPr>
          </w:p>
        </w:tc>
        <w:tc>
          <w:tcPr>
            <w:tcW w:w="430"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0" w:type="auto"/>
            <w:vMerge w:val="continue"/>
            <w:vAlign w:val="top"/>
          </w:tcPr>
          <w:p>
            <w:pPr>
              <w:spacing w:before="75" w:line="259" w:lineRule="auto"/>
              <w:ind w:left="81" w:leftChars="0" w:right="78" w:rightChars="0" w:hanging="60" w:firstLineChars="0"/>
              <w:jc w:val="center"/>
              <w:rPr>
                <w:u w:val="none"/>
              </w:rPr>
            </w:pPr>
          </w:p>
        </w:tc>
        <w:tc>
          <w:tcPr>
            <w:tcW w:w="659" w:type="dxa"/>
            <w:vMerge w:val="continue"/>
            <w:tcBorders>
              <w:left w:val="single" w:color="auto" w:sz="4" w:space="0"/>
              <w:right w:val="single" w:color="auto" w:sz="4" w:space="0"/>
            </w:tcBorders>
            <w:vAlign w:val="top"/>
          </w:tcPr>
          <w:p>
            <w:pPr>
              <w:spacing w:before="75" w:line="259" w:lineRule="auto"/>
              <w:ind w:left="81" w:leftChars="0" w:right="78" w:rightChars="0" w:hanging="60" w:firstLineChars="0"/>
              <w:jc w:val="center"/>
              <w:rPr>
                <w:u w:val="none"/>
              </w:rPr>
            </w:pPr>
          </w:p>
        </w:tc>
        <w:tc>
          <w:tcPr>
            <w:tcW w:w="1099" w:type="dxa"/>
            <w:vMerge w:val="continue"/>
            <w:vAlign w:val="top"/>
          </w:tcPr>
          <w:p>
            <w:pPr>
              <w:spacing w:before="75" w:line="259" w:lineRule="auto"/>
              <w:ind w:left="81" w:leftChars="0" w:right="78" w:rightChars="0" w:hanging="60" w:firstLineChars="0"/>
              <w:jc w:val="center"/>
              <w:rPr>
                <w:u w:val="none"/>
              </w:rPr>
            </w:pP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pacing w:val="-1"/>
                <w:sz w:val="20"/>
                <w:szCs w:val="20"/>
                <w:u w:val="none"/>
              </w:rPr>
            </w:pPr>
          </w:p>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z w:val="20"/>
                <w:szCs w:val="20"/>
                <w:u w:val="none"/>
              </w:rPr>
            </w:pPr>
            <w:r>
              <w:rPr>
                <w:rFonts w:ascii="宋体" w:hAnsi="宋体" w:eastAsia="宋体" w:cs="宋体"/>
                <w:spacing w:val="-1"/>
                <w:sz w:val="20"/>
                <w:szCs w:val="20"/>
                <w:u w:val="none"/>
              </w:rPr>
              <w:t>批后公布：规划批准</w:t>
            </w:r>
          </w:p>
          <w:p>
            <w:pPr>
              <w:keepNext w:val="0"/>
              <w:keepLines w:val="0"/>
              <w:pageBreakBefore w:val="0"/>
              <w:widowControl w:val="0"/>
              <w:kinsoku/>
              <w:wordWrap/>
              <w:overflowPunct/>
              <w:topLinePunct w:val="0"/>
              <w:autoSpaceDE/>
              <w:autoSpaceDN/>
              <w:bidi w:val="0"/>
              <w:adjustRightInd/>
              <w:snapToGrid/>
              <w:spacing w:before="61" w:line="280" w:lineRule="exact"/>
              <w:ind w:left="131"/>
              <w:jc w:val="center"/>
              <w:textAlignment w:val="auto"/>
              <w:rPr>
                <w:rFonts w:ascii="宋体" w:hAnsi="宋体" w:eastAsia="宋体" w:cs="宋体"/>
                <w:spacing w:val="-1"/>
                <w:sz w:val="20"/>
                <w:szCs w:val="20"/>
                <w:u w:val="none"/>
              </w:rPr>
            </w:pPr>
            <w:r>
              <w:rPr>
                <w:rFonts w:ascii="宋体" w:hAnsi="宋体" w:eastAsia="宋体" w:cs="宋体"/>
                <w:spacing w:val="7"/>
                <w:sz w:val="20"/>
                <w:szCs w:val="20"/>
                <w:u w:val="none"/>
              </w:rPr>
              <w:t>文件、规划文本及图</w:t>
            </w:r>
            <w:r>
              <w:rPr>
                <w:rFonts w:ascii="宋体" w:hAnsi="宋体" w:eastAsia="宋体" w:cs="宋体"/>
                <w:spacing w:val="-1"/>
                <w:sz w:val="20"/>
                <w:szCs w:val="20"/>
                <w:u w:val="none"/>
              </w:rPr>
              <w:t>件(涉密信息、法律</w:t>
            </w:r>
            <w:r>
              <w:rPr>
                <w:rFonts w:ascii="宋体" w:hAnsi="宋体" w:eastAsia="宋体" w:cs="宋体"/>
                <w:sz w:val="20"/>
                <w:szCs w:val="20"/>
                <w:u w:val="none"/>
              </w:rPr>
              <w:t xml:space="preserve"> </w:t>
            </w:r>
            <w:r>
              <w:rPr>
                <w:rFonts w:ascii="宋体" w:hAnsi="宋体" w:eastAsia="宋体" w:cs="宋体"/>
                <w:spacing w:val="-2"/>
                <w:sz w:val="20"/>
                <w:szCs w:val="20"/>
                <w:u w:val="none"/>
              </w:rPr>
              <w:t>法规规定不予公开</w:t>
            </w:r>
            <w:r>
              <w:rPr>
                <w:rFonts w:ascii="宋体" w:hAnsi="宋体" w:eastAsia="宋体" w:cs="宋体"/>
                <w:spacing w:val="10"/>
                <w:sz w:val="20"/>
                <w:szCs w:val="20"/>
                <w:u w:val="none"/>
              </w:rPr>
              <w:t>的除外)</w:t>
            </w:r>
          </w:p>
        </w:tc>
        <w:tc>
          <w:tcPr>
            <w:tcW w:w="2300"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784" w:type="dxa"/>
            <w:vAlign w:val="top"/>
          </w:tcPr>
          <w:p>
            <w:pPr>
              <w:spacing w:before="65" w:line="261" w:lineRule="auto"/>
              <w:ind w:right="80"/>
              <w:jc w:val="center"/>
              <w:rPr>
                <w:rFonts w:ascii="宋体" w:hAnsi="宋体" w:eastAsia="宋体" w:cs="宋体"/>
                <w:spacing w:val="-2"/>
                <w:sz w:val="20"/>
                <w:szCs w:val="20"/>
                <w:u w:val="none"/>
              </w:rPr>
            </w:pPr>
          </w:p>
          <w:p>
            <w:pPr>
              <w:spacing w:before="65" w:line="261" w:lineRule="auto"/>
              <w:ind w:right="80"/>
              <w:jc w:val="center"/>
              <w:rPr>
                <w:rFonts w:ascii="宋体" w:hAnsi="宋体" w:eastAsia="宋体" w:cs="宋体"/>
                <w:spacing w:val="-1"/>
                <w:sz w:val="20"/>
                <w:szCs w:val="20"/>
                <w:u w:val="none"/>
              </w:rPr>
            </w:pPr>
            <w:r>
              <w:rPr>
                <w:rFonts w:ascii="宋体" w:hAnsi="宋体" w:eastAsia="宋体" w:cs="宋体"/>
                <w:spacing w:val="-2"/>
                <w:sz w:val="20"/>
                <w:szCs w:val="20"/>
                <w:u w:val="none"/>
              </w:rPr>
              <w:t>批后公布应</w:t>
            </w:r>
            <w:r>
              <w:rPr>
                <w:rFonts w:ascii="宋体" w:hAnsi="宋体" w:eastAsia="宋体" w:cs="宋体"/>
                <w:spacing w:val="8"/>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w:t>
            </w:r>
            <w:r>
              <w:rPr>
                <w:rFonts w:hint="eastAsia" w:ascii="宋体" w:hAnsi="宋体" w:eastAsia="宋体" w:cs="宋体"/>
                <w:spacing w:val="2"/>
                <w:sz w:val="20"/>
                <w:szCs w:val="20"/>
                <w:u w:val="none"/>
                <w:lang w:eastAsia="zh-CN"/>
              </w:rPr>
              <w:t>个</w:t>
            </w:r>
            <w:r>
              <w:rPr>
                <w:rFonts w:ascii="宋体" w:hAnsi="宋体" w:eastAsia="宋体" w:cs="宋体"/>
                <w:spacing w:val="2"/>
                <w:sz w:val="20"/>
                <w:szCs w:val="20"/>
                <w:u w:val="none"/>
              </w:rPr>
              <w:t>工</w:t>
            </w:r>
            <w:r>
              <w:rPr>
                <w:rFonts w:ascii="宋体" w:hAnsi="宋体" w:eastAsia="宋体" w:cs="宋体"/>
                <w:spacing w:val="-2"/>
                <w:sz w:val="20"/>
                <w:szCs w:val="20"/>
                <w:u w:val="none"/>
              </w:rPr>
              <w:t>作日内向社会公布</w:t>
            </w:r>
          </w:p>
        </w:tc>
        <w:tc>
          <w:tcPr>
            <w:tcW w:w="1853"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814"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6"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2"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8"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0"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30"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4"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4</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3"/>
                <w:sz w:val="20"/>
                <w:szCs w:val="20"/>
                <w:u w:val="none"/>
              </w:rPr>
              <w:t>若</w:t>
            </w:r>
            <w:r>
              <w:rPr>
                <w:rFonts w:hint="eastAsia" w:ascii="宋体" w:hAnsi="宋体" w:cs="宋体"/>
                <w:spacing w:val="3"/>
                <w:sz w:val="20"/>
                <w:szCs w:val="20"/>
                <w:u w:val="none"/>
                <w:lang w:eastAsia="zh-CN"/>
              </w:rPr>
              <w:t>干</w:t>
            </w:r>
            <w:r>
              <w:rPr>
                <w:rFonts w:ascii="宋体" w:hAnsi="宋体" w:eastAsia="宋体" w:cs="宋体"/>
                <w:spacing w:val="3"/>
                <w:sz w:val="20"/>
                <w:szCs w:val="20"/>
                <w:u w:val="none"/>
              </w:rPr>
              <w:t>意见》(国办发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z w:val="20"/>
                <w:szCs w:val="20"/>
                <w:u w:val="none"/>
              </w:rPr>
              <w:t xml:space="preserve">  </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5</w:t>
            </w:r>
          </w:p>
        </w:tc>
        <w:tc>
          <w:tcPr>
            <w:tcW w:w="659" w:type="dxa"/>
            <w:vMerge w:val="restart"/>
            <w:vAlign w:val="center"/>
          </w:tcPr>
          <w:p>
            <w:pPr>
              <w:spacing w:before="68" w:line="266" w:lineRule="auto"/>
              <w:ind w:left="100" w:leftChars="0" w:right="127"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6</w:t>
            </w:r>
          </w:p>
        </w:tc>
        <w:tc>
          <w:tcPr>
            <w:tcW w:w="659" w:type="dxa"/>
            <w:vMerge w:val="continue"/>
            <w:vAlign w:val="top"/>
          </w:tcPr>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right="65" w:righ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center"/>
          </w:tcPr>
          <w:p>
            <w:pPr>
              <w:spacing w:before="8" w:line="305" w:lineRule="exact"/>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center"/>
          </w:tcPr>
          <w:p>
            <w:pPr>
              <w:spacing w:before="61" w:line="216" w:lineRule="auto"/>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14"/>
                <w:sz w:val="20"/>
                <w:szCs w:val="20"/>
                <w:u w:val="none"/>
              </w:rPr>
              <w:t>息公开平台</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bl>
    <w:p>
      <w:pPr>
        <w:jc w:val="center"/>
        <w:rPr>
          <w:rFonts w:ascii="宋体" w:hAnsi="宋体" w:eastAsia="宋体" w:cs="宋体"/>
          <w:b/>
          <w:bCs/>
          <w:spacing w:val="1"/>
          <w:sz w:val="39"/>
          <w:szCs w:val="39"/>
        </w:rPr>
      </w:pPr>
    </w:p>
    <w:p>
      <w:pPr>
        <w:ind w:firstLine="360" w:firstLineChars="200"/>
        <w:jc w:val="left"/>
        <w:rPr>
          <w:rFonts w:ascii="宋体"/>
          <w:sz w:val="18"/>
          <w:szCs w:val="18"/>
        </w:rPr>
      </w:pPr>
    </w:p>
    <w:p>
      <w:pPr>
        <w:pStyle w:val="2"/>
        <w:jc w:val="center"/>
        <w:rPr>
          <w:rFonts w:hint="eastAsia" w:ascii="方正小标宋_GBK" w:hAnsi="方正小标宋_GBK" w:eastAsia="方正小标宋_GBK"/>
          <w:b w:val="0"/>
          <w:bCs w:val="0"/>
          <w:sz w:val="30"/>
        </w:rPr>
      </w:pPr>
      <w:bookmarkStart w:id="1" w:name="_Toc24724717"/>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（九）保障性住房领域</w:t>
      </w:r>
      <w:bookmarkEnd w:id="1"/>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0"/>
        <w:gridCol w:w="993"/>
        <w:gridCol w:w="1400"/>
        <w:gridCol w:w="3600"/>
        <w:gridCol w:w="71"/>
        <w:gridCol w:w="992"/>
        <w:gridCol w:w="17"/>
        <w:gridCol w:w="1080"/>
        <w:gridCol w:w="37"/>
        <w:gridCol w:w="1209"/>
        <w:gridCol w:w="67"/>
        <w:gridCol w:w="653"/>
        <w:gridCol w:w="56"/>
        <w:gridCol w:w="653"/>
        <w:gridCol w:w="56"/>
        <w:gridCol w:w="495"/>
        <w:gridCol w:w="72"/>
        <w:gridCol w:w="648"/>
        <w:gridCol w:w="60"/>
        <w:gridCol w:w="660"/>
        <w:gridCol w:w="4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restart"/>
            <w:vAlign w:val="center"/>
          </w:tcPr>
          <w:p>
            <w:pPr>
              <w:widowControl/>
              <w:jc w:val="center"/>
              <w:rPr>
                <w:color w:val="000000"/>
                <w:kern w:val="0"/>
                <w:sz w:val="22"/>
              </w:rPr>
            </w:pPr>
            <w:r>
              <w:rPr>
                <w:rFonts w:hint="eastAsia" w:hAnsi="宋体"/>
                <w:color w:val="000000"/>
                <w:kern w:val="0"/>
                <w:sz w:val="22"/>
              </w:rPr>
              <w:t>序号</w:t>
            </w:r>
          </w:p>
        </w:tc>
        <w:tc>
          <w:tcPr>
            <w:tcW w:w="18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gridSpan w:val="3"/>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continue"/>
            <w:vAlign w:val="center"/>
          </w:tcPr>
          <w:p>
            <w:pPr>
              <w:widowControl/>
              <w:jc w:val="center"/>
              <w:rPr>
                <w:color w:val="000000"/>
                <w:kern w:val="0"/>
                <w:sz w:val="22"/>
              </w:rPr>
            </w:pP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00" w:type="dxa"/>
            <w:vMerge w:val="continue"/>
            <w:vAlign w:val="center"/>
          </w:tcPr>
          <w:p>
            <w:pPr>
              <w:widowControl/>
              <w:jc w:val="center"/>
              <w:rPr>
                <w:rFonts w:ascii="黑体" w:hAnsi="宋体" w:eastAsia="黑体" w:cs="宋体"/>
                <w:color w:val="000000"/>
                <w:kern w:val="0"/>
                <w:sz w:val="22"/>
              </w:rPr>
            </w:pPr>
          </w:p>
        </w:tc>
        <w:tc>
          <w:tcPr>
            <w:tcW w:w="3600" w:type="dxa"/>
            <w:vMerge w:val="continue"/>
            <w:vAlign w:val="center"/>
          </w:tcPr>
          <w:p>
            <w:pPr>
              <w:widowControl/>
              <w:jc w:val="center"/>
              <w:rPr>
                <w:rFonts w:ascii="黑体" w:hAnsi="宋体" w:eastAsia="黑体" w:cs="宋体"/>
                <w:color w:val="000000"/>
                <w:kern w:val="0"/>
                <w:sz w:val="22"/>
              </w:rPr>
            </w:pPr>
          </w:p>
        </w:tc>
        <w:tc>
          <w:tcPr>
            <w:tcW w:w="1080" w:type="dxa"/>
            <w:gridSpan w:val="3"/>
            <w:vMerge w:val="continue"/>
            <w:vAlign w:val="center"/>
          </w:tcPr>
          <w:p>
            <w:pPr>
              <w:widowControl/>
              <w:jc w:val="center"/>
              <w:rPr>
                <w:rFonts w:ascii="黑体" w:hAnsi="宋体" w:eastAsia="黑体" w:cs="宋体"/>
                <w:color w:val="000000"/>
                <w:kern w:val="0"/>
                <w:sz w:val="22"/>
              </w:rPr>
            </w:pPr>
          </w:p>
        </w:tc>
        <w:tc>
          <w:tcPr>
            <w:tcW w:w="1080" w:type="dxa"/>
            <w:vMerge w:val="continue"/>
            <w:vAlign w:val="center"/>
          </w:tcPr>
          <w:p>
            <w:pPr>
              <w:widowControl/>
              <w:jc w:val="center"/>
              <w:rPr>
                <w:rFonts w:ascii="黑体" w:hAnsi="宋体" w:eastAsia="黑体" w:cs="宋体"/>
                <w:color w:val="000000"/>
                <w:kern w:val="0"/>
                <w:sz w:val="22"/>
              </w:rPr>
            </w:pPr>
          </w:p>
        </w:tc>
        <w:tc>
          <w:tcPr>
            <w:tcW w:w="1246" w:type="dxa"/>
            <w:gridSpan w:val="2"/>
            <w:vMerge w:val="continue"/>
            <w:vAlign w:val="center"/>
          </w:tcPr>
          <w:p>
            <w:pPr>
              <w:widowControl/>
              <w:jc w:val="center"/>
              <w:rPr>
                <w:rFonts w:ascii="黑体" w:hAnsi="宋体" w:eastAsia="黑体" w:cs="宋体"/>
                <w:kern w:val="0"/>
                <w:sz w:val="22"/>
              </w:rPr>
            </w:pP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财政部关于做好城镇住房保障家庭租赁补贴工作的指导意见》、《国务院办公厅关于推进公共资源配置领域政府信息公开的意见》、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■公开查阅点</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page"/>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gridSpan w:val="2"/>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bookmarkStart w:id="2" w:name="_GoBack"/>
            <w:bookmarkEnd w:id="2"/>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jc w:val="center"/>
              <w:rPr>
                <w:rFonts w:ascii="仿宋_GB2312" w:hAnsi="宋体" w:eastAsia="仿宋_GB2312"/>
                <w:color w:val="000000"/>
                <w:sz w:val="18"/>
                <w:szCs w:val="18"/>
              </w:rPr>
            </w:pP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
      <w:pPr>
        <w:ind w:firstLine="560" w:firstLineChars="200"/>
        <w:jc w:val="left"/>
        <w:rPr>
          <w:rFonts w:ascii="宋体"/>
          <w:sz w:val="28"/>
          <w:szCs w:val="28"/>
        </w:rPr>
      </w:pPr>
    </w:p>
    <w:p>
      <w:pPr>
        <w:jc w:val="center"/>
        <w:rPr>
          <w:rFonts w:hint="eastAsia" w:ascii="方正小标宋_GBK" w:hAnsi="方正小标宋_GBK" w:eastAsia="方正小标宋_GBK"/>
          <w:b w:val="0"/>
          <w:bCs w:val="0"/>
          <w:sz w:val="30"/>
        </w:rPr>
      </w:pPr>
      <w:r>
        <w:br w:type="page"/>
      </w:r>
      <w:r>
        <w:rPr>
          <w:rFonts w:hint="eastAsia" w:ascii="方正小标宋_GBK" w:hAnsi="方正小标宋_GBK" w:eastAsia="方正小标宋_GBK"/>
          <w:b w:val="0"/>
          <w:bCs w:val="0"/>
          <w:sz w:val="30"/>
        </w:rPr>
        <w:t>（十）农村危房改造领域</w:t>
      </w:r>
    </w:p>
    <w:tbl>
      <w:tblPr>
        <w:tblStyle w:val="5"/>
        <w:tblW w:w="15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2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425" w:type="dxa"/>
            <w:vAlign w:val="center"/>
          </w:tcPr>
          <w:p>
            <w:pPr>
              <w:widowControl/>
              <w:jc w:val="center"/>
              <w:rPr>
                <w:color w:val="000000"/>
                <w:kern w:val="0"/>
                <w:sz w:val="16"/>
                <w:szCs w:val="16"/>
              </w:rPr>
            </w:pPr>
            <w:r>
              <w:rPr>
                <w:color w:val="000000"/>
                <w:kern w:val="0"/>
                <w:sz w:val="16"/>
                <w:szCs w:val="16"/>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财政部关于印发农村危房改造脱贫攻坚三年行动方案的通知》、《住房城乡建设部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（十一）城市综合执法领域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701"/>
        <w:gridCol w:w="2693"/>
        <w:gridCol w:w="992"/>
        <w:gridCol w:w="1701"/>
        <w:gridCol w:w="1418"/>
        <w:gridCol w:w="1223"/>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77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9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vMerge w:val="continue"/>
            <w:vAlign w:val="center"/>
          </w:tcPr>
          <w:p>
            <w:pPr>
              <w:widowControl/>
              <w:jc w:val="left"/>
              <w:rPr>
                <w:color w:val="000000"/>
                <w:kern w:val="0"/>
                <w:sz w:val="22"/>
              </w:rPr>
            </w:pPr>
          </w:p>
        </w:tc>
        <w:tc>
          <w:tcPr>
            <w:tcW w:w="10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93"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1223"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开山、采石、开矿等破坏传统格局和历史风貌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黑体" w:hAnsi="宋体" w:eastAsia="黑体" w:cs="宋体"/>
                <w:color w:val="000000"/>
                <w:kern w:val="0"/>
                <w:sz w:val="22"/>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占用保护规划确定保留的园林绿地、河湖水系、道路等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修建生产、储存爆炸性、易燃性、放射性、毒害性、腐蚀性物品的工厂、仓库等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在历史建筑上刻划、涂污</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5</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6</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7</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在改变园林绿地、河湖水系等自然状态的活动中，对传统格局、历史风貌或者历史建筑构成破坏性影响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在核心保护范围内进行影视摄制、举办大型群众性活动中，对传统格局、历史风貌或者历史建筑构成破坏性影响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9</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在其他影响传统格局、历史风貌或者历史建筑的活动中，构成破坏性影响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10</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擅自设置、移动、涂改或者损毁历史文化街区、名镇、名村标志牌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p>
          <w:p>
            <w:pPr>
              <w:widowControl/>
              <w:jc w:val="center"/>
              <w:rPr>
                <w:rFonts w:ascii="Arial" w:hAnsi="Arial" w:cs="Arial"/>
                <w:kern w:val="0"/>
                <w:sz w:val="18"/>
                <w:szCs w:val="18"/>
              </w:rPr>
            </w:pP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bl>
    <w:p>
      <w:pPr>
        <w:pStyle w:val="2"/>
        <w:rPr>
          <w:rFonts w:ascii="方正小标宋_GBK" w:hAnsi="方正小标宋_GBK" w:eastAsia="方正小标宋_GBK"/>
          <w:b w:val="0"/>
          <w:bCs w:val="0"/>
          <w:sz w:val="30"/>
        </w:rPr>
      </w:pPr>
    </w:p>
    <w:p/>
    <w:p/>
    <w:p/>
    <w:p/>
    <w:p/>
    <w:p/>
    <w:p/>
    <w:p/>
    <w:p/>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（十二）公共文化服务领域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1</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公共文化机构免费开放信息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《公共文化服务保障法》、</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、《文化部</w:t>
            </w:r>
            <w:r>
              <w:rPr>
                <w:rFonts w:ascii="仿宋_GB2312" w:eastAsia="仿宋_GB2312"/>
                <w:sz w:val="18"/>
                <w:szCs w:val="18"/>
              </w:rPr>
              <w:t xml:space="preserve"> </w:t>
            </w:r>
            <w:r>
              <w:rPr>
                <w:rFonts w:hint="eastAsia" w:ascii="仿宋_GB2312" w:eastAsia="仿宋_GB2312"/>
                <w:sz w:val="18"/>
                <w:szCs w:val="18"/>
              </w:rPr>
              <w:t>财政部关于推进全国美术馆、公共图书馆、文化馆（站）免费开放工作的意见》、《文化部</w:t>
            </w:r>
            <w:r>
              <w:rPr>
                <w:rFonts w:ascii="仿宋_GB2312" w:eastAsia="仿宋_GB2312"/>
                <w:sz w:val="18"/>
                <w:szCs w:val="18"/>
              </w:rPr>
              <w:t xml:space="preserve"> </w:t>
            </w:r>
            <w:r>
              <w:rPr>
                <w:rFonts w:hint="eastAsia" w:ascii="仿宋_GB2312" w:eastAsia="仿宋_GB2312"/>
                <w:sz w:val="18"/>
                <w:szCs w:val="18"/>
              </w:rPr>
              <w:t>财政部关于做好城市社区</w:t>
            </w:r>
            <w:r>
              <w:rPr>
                <w:rFonts w:ascii="仿宋_GB2312" w:eastAsia="仿宋_GB2312"/>
                <w:sz w:val="18"/>
                <w:szCs w:val="18"/>
              </w:rPr>
              <w:t>(</w:t>
            </w:r>
            <w:r>
              <w:rPr>
                <w:rFonts w:hint="eastAsia" w:ascii="仿宋_GB2312" w:eastAsia="仿宋_GB2312"/>
                <w:sz w:val="18"/>
                <w:szCs w:val="18"/>
              </w:rPr>
              <w:t>街道</w:t>
            </w:r>
            <w:r>
              <w:rPr>
                <w:rFonts w:ascii="仿宋_GB2312" w:eastAsia="仿宋_GB2312"/>
                <w:sz w:val="18"/>
                <w:szCs w:val="18"/>
              </w:rPr>
              <w:t>)</w:t>
            </w:r>
            <w:r>
              <w:rPr>
                <w:rFonts w:hint="eastAsia" w:ascii="仿宋_GB2312" w:eastAsia="仿宋_GB2312"/>
                <w:sz w:val="18"/>
                <w:szCs w:val="18"/>
              </w:rPr>
              <w:t>文化中心免费开放工作的通知》</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2</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特殊群体公共文化服务信息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《残疾人保障法》、</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、《中共中央办公厅</w:t>
            </w:r>
            <w:r>
              <w:rPr>
                <w:rFonts w:ascii="仿宋_GB2312" w:eastAsia="仿宋_GB2312"/>
                <w:sz w:val="18"/>
                <w:szCs w:val="18"/>
              </w:rPr>
              <w:t xml:space="preserve"> </w:t>
            </w:r>
            <w:r>
              <w:rPr>
                <w:rFonts w:hint="eastAsia" w:ascii="仿宋_GB2312" w:eastAsia="仿宋_GB2312"/>
                <w:sz w:val="18"/>
                <w:szCs w:val="18"/>
              </w:rPr>
              <w:t>国务院办公厅印发关于加快构建现代公共文化服务体系的意见》</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3</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组织开展群众文化活动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4</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下基层辅导、演出、展览和指导基层群众文化活动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5</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举办各类展览、讲座信息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6</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辅导和培训基层文化骨干</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培训时间；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培训单位；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培训地址；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7</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非物质文化遗产展示传播活动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组织单位；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《非物质文化遗产法》、</w:t>
            </w:r>
            <w:r>
              <w:rPr>
                <w:rFonts w:hint="eastAsia" w:ascii="仿宋_GB2312" w:eastAsia="仿宋_GB2312"/>
                <w:sz w:val="18"/>
                <w:szCs w:val="18"/>
                <w:lang w:eastAsia="zh-CN"/>
              </w:rPr>
              <w:t>《中华人民共和国政府信息公开条例》</w:t>
            </w:r>
            <w:r>
              <w:rPr>
                <w:rFonts w:ascii="仿宋_GB2312" w:eastAsia="仿宋_GB2312"/>
                <w:sz w:val="18"/>
                <w:szCs w:val="18"/>
              </w:rPr>
              <w:t xml:space="preserve">  </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8</w:t>
            </w:r>
          </w:p>
        </w:tc>
        <w:tc>
          <w:tcPr>
            <w:tcW w:w="734" w:type="dxa"/>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文博单位名录</w:t>
            </w:r>
          </w:p>
        </w:tc>
        <w:tc>
          <w:tcPr>
            <w:tcW w:w="1786" w:type="dxa"/>
            <w:vAlign w:val="center"/>
          </w:tcPr>
          <w:p>
            <w:pPr>
              <w:spacing w:line="240" w:lineRule="exact"/>
              <w:rPr>
                <w:rFonts w:ascii="仿宋_GB2312" w:eastAsia="仿宋_GB2312"/>
                <w:sz w:val="18"/>
                <w:szCs w:val="18"/>
              </w:rPr>
            </w:pPr>
            <w:r>
              <w:rPr>
                <w:rFonts w:hint="eastAsia" w:ascii="仿宋_GB2312" w:eastAsia="仿宋_GB2312"/>
                <w:sz w:val="18"/>
                <w:szCs w:val="18"/>
              </w:rPr>
              <w:t>文物保护管理机构和博物馆名录</w:t>
            </w:r>
          </w:p>
        </w:tc>
        <w:tc>
          <w:tcPr>
            <w:tcW w:w="1980" w:type="dxa"/>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lang w:eastAsia="zh-CN"/>
              </w:rPr>
              <w:t>《中华人民共和国政府信息公开条例》</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文物行政部门</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jc w:val="left"/>
        <w:rPr>
          <w:rFonts w:eastAsia="方正小标宋_GBK"/>
          <w:sz w:val="28"/>
          <w:szCs w:val="28"/>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（十三）安全生产领域</w:t>
      </w:r>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Merge w:val="restart"/>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Merge w:val="restart"/>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1800" w:type="dxa"/>
            <w:vMerge w:val="continue"/>
            <w:vAlign w:val="center"/>
          </w:tcPr>
          <w:p>
            <w:pPr>
              <w:rPr>
                <w:rFonts w:ascii="仿宋_GB2312" w:hAnsi="宋体" w:eastAsia="仿宋_GB2312" w:cs="宋体"/>
                <w:bCs/>
                <w:color w:val="000000"/>
                <w:sz w:val="18"/>
                <w:szCs w:val="18"/>
              </w:rPr>
            </w:pPr>
          </w:p>
        </w:tc>
        <w:tc>
          <w:tcPr>
            <w:tcW w:w="900" w:type="dxa"/>
            <w:vMerge w:val="continue"/>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720"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540" w:type="dxa"/>
            <w:vMerge w:val="continue"/>
            <w:vAlign w:val="center"/>
          </w:tcPr>
          <w:p>
            <w:pPr>
              <w:rPr>
                <w:rFonts w:ascii="仿宋_GB2312" w:hAnsi="宋体" w:eastAsia="仿宋_GB2312" w:cs="宋体"/>
                <w:bCs/>
                <w:sz w:val="18"/>
                <w:szCs w:val="18"/>
              </w:rPr>
            </w:pPr>
          </w:p>
        </w:tc>
        <w:tc>
          <w:tcPr>
            <w:tcW w:w="540" w:type="dxa"/>
            <w:vMerge w:val="continue"/>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ascii="仿宋_GB2312" w:eastAsia="仿宋_GB2312"/>
                <w:bCs/>
                <w:sz w:val="18"/>
                <w:szCs w:val="18"/>
              </w:rPr>
              <w:t xml:space="preserve">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r>
              <w:rPr>
                <w:rFonts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r>
              <w:rPr>
                <w:rFonts w:ascii="仿宋_GB2312" w:eastAsia="仿宋_GB2312"/>
                <w:sz w:val="18"/>
                <w:szCs w:val="18"/>
              </w:rPr>
              <w:br w:type="textWrapping"/>
            </w: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r>
              <w:rPr>
                <w:rFonts w:ascii="仿宋_GB2312" w:eastAsia="仿宋_GB2312"/>
                <w:sz w:val="18"/>
                <w:szCs w:val="18"/>
              </w:rPr>
              <w:br w:type="textWrapping"/>
            </w: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restart"/>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ascii="仿宋_GB2312" w:eastAsia="仿宋_GB2312"/>
                <w:bCs/>
                <w:sz w:val="18"/>
                <w:szCs w:val="18"/>
              </w:rPr>
              <w:t xml:space="preserve"> </w:t>
            </w:r>
            <w:r>
              <w:rPr>
                <w:rFonts w:hint="eastAsia" w:ascii="仿宋_GB2312" w:eastAsia="仿宋_GB2312"/>
                <w:bCs/>
                <w:sz w:val="18"/>
                <w:szCs w:val="18"/>
              </w:rPr>
              <w:t>“三公”经费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w:t>
            </w:r>
            <w:r>
              <w:rPr>
                <w:rFonts w:ascii="仿宋_GB2312" w:eastAsia="仿宋_GB2312"/>
                <w:bCs/>
                <w:sz w:val="18"/>
                <w:szCs w:val="18"/>
              </w:rPr>
              <w:t>,</w:t>
            </w:r>
            <w:r>
              <w:rPr>
                <w:rFonts w:hint="eastAsia" w:ascii="仿宋_GB2312" w:eastAsia="仿宋_GB2312"/>
                <w:bCs/>
                <w:sz w:val="18"/>
                <w:szCs w:val="18"/>
              </w:rPr>
              <w:t>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（十四）救灾生产领域</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2</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3</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5</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有关重大政策的解读及回应</w:t>
            </w:r>
            <w:r>
              <w:rPr>
                <w:rFonts w:ascii="仿宋_GB2312" w:eastAsia="仿宋_GB2312"/>
                <w:color w:val="000000"/>
                <w:sz w:val="18"/>
                <w:szCs w:val="18"/>
              </w:rPr>
              <w:t xml:space="preserve">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7</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■两微一端</w:t>
            </w:r>
            <w:r>
              <w:rPr>
                <w:rFonts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、《社会救助暂行办法》、《国家综合防灾减灾规划（</w:t>
            </w:r>
            <w:r>
              <w:rPr>
                <w:rFonts w:ascii="仿宋_GB2312" w:eastAsia="仿宋_GB2312"/>
                <w:sz w:val="18"/>
                <w:szCs w:val="18"/>
              </w:rPr>
              <w:t>2016-2020</w:t>
            </w:r>
            <w:r>
              <w:rPr>
                <w:rFonts w:hint="eastAsia" w:ascii="仿宋_GB2312" w:eastAsia="仿宋_GB2312"/>
                <w:sz w:val="18"/>
                <w:szCs w:val="18"/>
              </w:rPr>
              <w:t>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w:t>
            </w:r>
            <w:r>
              <w:rPr>
                <w:rFonts w:ascii="仿宋_GB2312" w:eastAsia="仿宋_GB2312"/>
                <w:color w:val="000000"/>
                <w:sz w:val="18"/>
                <w:szCs w:val="18"/>
              </w:rPr>
              <w:t>6</w:t>
            </w:r>
            <w:r>
              <w:rPr>
                <w:rFonts w:hint="eastAsia" w:ascii="仿宋_GB2312" w:eastAsia="仿宋_GB2312"/>
                <w:color w:val="000000"/>
                <w:sz w:val="18"/>
                <w:szCs w:val="18"/>
              </w:rPr>
              <w:t>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w:t>
            </w:r>
            <w:r>
              <w:rPr>
                <w:rFonts w:ascii="仿宋_GB2312" w:eastAsia="仿宋_GB2312"/>
                <w:sz w:val="18"/>
                <w:szCs w:val="18"/>
              </w:rPr>
              <w:t xml:space="preserve">                                         </w:t>
            </w:r>
            <w:r>
              <w:rPr>
                <w:rFonts w:hint="eastAsia" w:ascii="仿宋_GB2312" w:eastAsia="仿宋_GB2312"/>
                <w:sz w:val="18"/>
                <w:szCs w:val="18"/>
              </w:rPr>
              <w:t>过渡期生活救助对象确定（灾民姓名、受灾情况、救助金额、监督举报电话</w:t>
            </w:r>
            <w:r>
              <w:rPr>
                <w:rFonts w:ascii="仿宋_GB2312" w:eastAsia="仿宋_GB2312"/>
                <w:sz w:val="18"/>
                <w:szCs w:val="18"/>
              </w:rPr>
              <w:t>)</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ascii="仿宋_GB2312" w:eastAsia="仿宋_GB2312"/>
                <w:sz w:val="18"/>
                <w:szCs w:val="18"/>
              </w:rPr>
              <w:t xml:space="preserve">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重点关注</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（十五）食品药品监管领域</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rPr>
            </w:pPr>
            <w:r>
              <w:rPr>
                <w:rFonts w:hint="eastAsia"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3</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p>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■两微一端</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r>
              <w:rPr>
                <w:rFonts w:ascii="仿宋_GB2312" w:hAnsi="宋体" w:eastAsia="仿宋_GB2312"/>
                <w:sz w:val="18"/>
                <w:szCs w:val="18"/>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（十六）扶贫领域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w:t>
            </w:r>
            <w:r>
              <w:rPr>
                <w:rFonts w:ascii="仿宋_GB2312" w:eastAsia="仿宋_GB2312"/>
                <w:color w:val="000000"/>
                <w:sz w:val="18"/>
                <w:szCs w:val="18"/>
              </w:rPr>
              <w:t>15</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w:t>
            </w:r>
            <w:r>
              <w:rPr>
                <w:rFonts w:ascii="仿宋_GB2312" w:eastAsia="仿宋_GB2312"/>
                <w:color w:val="000000"/>
                <w:sz w:val="18"/>
                <w:szCs w:val="18"/>
              </w:rPr>
              <w:t>1</w:t>
            </w:r>
            <w:r>
              <w:rPr>
                <w:rFonts w:hint="eastAsia" w:ascii="仿宋_GB2312" w:eastAsia="仿宋_GB2312"/>
                <w:color w:val="000000"/>
                <w:sz w:val="18"/>
                <w:szCs w:val="18"/>
              </w:rPr>
              <w:t>次当年情况</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12317</w:t>
            </w:r>
            <w:r>
              <w:rPr>
                <w:rFonts w:hint="eastAsia"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widowControl/>
        <w:jc w:val="center"/>
        <w:rPr>
          <w:rFonts w:ascii="仿宋_GB2312" w:eastAsia="仿宋_GB2312"/>
          <w:color w:val="000000"/>
          <w:sz w:val="18"/>
          <w:szCs w:val="18"/>
        </w:rPr>
      </w:pPr>
    </w:p>
    <w:p>
      <w:pPr>
        <w:widowControl/>
        <w:jc w:val="cente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等线">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宋体"/>
    <w:panose1 w:val="02010601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lOGMwZDk4ZGI5OGMwNmJmYTYyZmFhNzZiZWZkMzAifQ=="/>
  </w:docVars>
  <w:rsids>
    <w:rsidRoot w:val="00DF760E"/>
    <w:rsid w:val="000127E6"/>
    <w:rsid w:val="00030902"/>
    <w:rsid w:val="0005481F"/>
    <w:rsid w:val="0006536E"/>
    <w:rsid w:val="00071D25"/>
    <w:rsid w:val="00077FC8"/>
    <w:rsid w:val="00080476"/>
    <w:rsid w:val="000E6E67"/>
    <w:rsid w:val="0010309B"/>
    <w:rsid w:val="00111116"/>
    <w:rsid w:val="0011580C"/>
    <w:rsid w:val="00137090"/>
    <w:rsid w:val="00150857"/>
    <w:rsid w:val="00150C44"/>
    <w:rsid w:val="00170045"/>
    <w:rsid w:val="00170B78"/>
    <w:rsid w:val="0017648B"/>
    <w:rsid w:val="00196BBC"/>
    <w:rsid w:val="001A00E9"/>
    <w:rsid w:val="001A4F39"/>
    <w:rsid w:val="001A7CDB"/>
    <w:rsid w:val="001B5675"/>
    <w:rsid w:val="001C2F80"/>
    <w:rsid w:val="001E2FDE"/>
    <w:rsid w:val="001E4F5C"/>
    <w:rsid w:val="001F1C6B"/>
    <w:rsid w:val="00241BD7"/>
    <w:rsid w:val="00263DFE"/>
    <w:rsid w:val="002804DB"/>
    <w:rsid w:val="00286E4F"/>
    <w:rsid w:val="00297380"/>
    <w:rsid w:val="002A405C"/>
    <w:rsid w:val="002A42B1"/>
    <w:rsid w:val="002A7FA2"/>
    <w:rsid w:val="002E2D81"/>
    <w:rsid w:val="002E30D2"/>
    <w:rsid w:val="00313155"/>
    <w:rsid w:val="00317674"/>
    <w:rsid w:val="003252D3"/>
    <w:rsid w:val="00326AB5"/>
    <w:rsid w:val="00334FB8"/>
    <w:rsid w:val="003468C8"/>
    <w:rsid w:val="0038755D"/>
    <w:rsid w:val="003A2C13"/>
    <w:rsid w:val="003B1350"/>
    <w:rsid w:val="003B317F"/>
    <w:rsid w:val="003D2B64"/>
    <w:rsid w:val="003E1337"/>
    <w:rsid w:val="00400EB3"/>
    <w:rsid w:val="0040597B"/>
    <w:rsid w:val="00417967"/>
    <w:rsid w:val="004262D2"/>
    <w:rsid w:val="0043213D"/>
    <w:rsid w:val="00436F0F"/>
    <w:rsid w:val="0043751D"/>
    <w:rsid w:val="0044334A"/>
    <w:rsid w:val="00445036"/>
    <w:rsid w:val="004545F7"/>
    <w:rsid w:val="00457406"/>
    <w:rsid w:val="0048146C"/>
    <w:rsid w:val="004931C4"/>
    <w:rsid w:val="004D63FC"/>
    <w:rsid w:val="004E036F"/>
    <w:rsid w:val="004E04CD"/>
    <w:rsid w:val="004E1279"/>
    <w:rsid w:val="004F1782"/>
    <w:rsid w:val="004F6A62"/>
    <w:rsid w:val="005062D7"/>
    <w:rsid w:val="005128E6"/>
    <w:rsid w:val="00535DBF"/>
    <w:rsid w:val="005379C1"/>
    <w:rsid w:val="0055067A"/>
    <w:rsid w:val="00565C14"/>
    <w:rsid w:val="00586132"/>
    <w:rsid w:val="005A5DD7"/>
    <w:rsid w:val="005B7636"/>
    <w:rsid w:val="005D1EA5"/>
    <w:rsid w:val="005E4CEB"/>
    <w:rsid w:val="005F5F70"/>
    <w:rsid w:val="005F6141"/>
    <w:rsid w:val="005F799E"/>
    <w:rsid w:val="0060401C"/>
    <w:rsid w:val="00650C73"/>
    <w:rsid w:val="0065707B"/>
    <w:rsid w:val="0066141A"/>
    <w:rsid w:val="00661932"/>
    <w:rsid w:val="00667A99"/>
    <w:rsid w:val="00670C16"/>
    <w:rsid w:val="0067272A"/>
    <w:rsid w:val="006A03B3"/>
    <w:rsid w:val="006A05F7"/>
    <w:rsid w:val="006A0657"/>
    <w:rsid w:val="0070268C"/>
    <w:rsid w:val="00727666"/>
    <w:rsid w:val="0074475A"/>
    <w:rsid w:val="00750A6C"/>
    <w:rsid w:val="00757315"/>
    <w:rsid w:val="007662F5"/>
    <w:rsid w:val="007666B9"/>
    <w:rsid w:val="00766E44"/>
    <w:rsid w:val="007926A3"/>
    <w:rsid w:val="007939E4"/>
    <w:rsid w:val="007A0CA3"/>
    <w:rsid w:val="007B20E3"/>
    <w:rsid w:val="007C257A"/>
    <w:rsid w:val="007C4952"/>
    <w:rsid w:val="007D3C94"/>
    <w:rsid w:val="007E0D49"/>
    <w:rsid w:val="00804E18"/>
    <w:rsid w:val="00810072"/>
    <w:rsid w:val="00813F4D"/>
    <w:rsid w:val="0081415C"/>
    <w:rsid w:val="00832F0E"/>
    <w:rsid w:val="008356F8"/>
    <w:rsid w:val="0083584E"/>
    <w:rsid w:val="00835DEF"/>
    <w:rsid w:val="008555D7"/>
    <w:rsid w:val="00857CFF"/>
    <w:rsid w:val="0087234D"/>
    <w:rsid w:val="00874240"/>
    <w:rsid w:val="008831A0"/>
    <w:rsid w:val="008967E6"/>
    <w:rsid w:val="008A62E5"/>
    <w:rsid w:val="008B5ACB"/>
    <w:rsid w:val="008D75E9"/>
    <w:rsid w:val="008E35F5"/>
    <w:rsid w:val="0090233A"/>
    <w:rsid w:val="009041A9"/>
    <w:rsid w:val="00916DF4"/>
    <w:rsid w:val="00936A7F"/>
    <w:rsid w:val="00941FBB"/>
    <w:rsid w:val="0094239D"/>
    <w:rsid w:val="009449A5"/>
    <w:rsid w:val="009461E2"/>
    <w:rsid w:val="0097041F"/>
    <w:rsid w:val="00970F1C"/>
    <w:rsid w:val="00972C0F"/>
    <w:rsid w:val="00995A3C"/>
    <w:rsid w:val="00995D92"/>
    <w:rsid w:val="009A2461"/>
    <w:rsid w:val="009A5C13"/>
    <w:rsid w:val="009B0EC0"/>
    <w:rsid w:val="009B1A6D"/>
    <w:rsid w:val="00A15879"/>
    <w:rsid w:val="00A247E2"/>
    <w:rsid w:val="00A260C6"/>
    <w:rsid w:val="00A46C46"/>
    <w:rsid w:val="00A712C8"/>
    <w:rsid w:val="00A75B6E"/>
    <w:rsid w:val="00A805D0"/>
    <w:rsid w:val="00A82E9E"/>
    <w:rsid w:val="00A8554D"/>
    <w:rsid w:val="00A86034"/>
    <w:rsid w:val="00AB2310"/>
    <w:rsid w:val="00AB437A"/>
    <w:rsid w:val="00AB59E4"/>
    <w:rsid w:val="00AC4116"/>
    <w:rsid w:val="00AD0335"/>
    <w:rsid w:val="00AD5DC3"/>
    <w:rsid w:val="00B02CAB"/>
    <w:rsid w:val="00B17641"/>
    <w:rsid w:val="00B2478C"/>
    <w:rsid w:val="00B348B7"/>
    <w:rsid w:val="00B52C70"/>
    <w:rsid w:val="00B7281D"/>
    <w:rsid w:val="00B82FEB"/>
    <w:rsid w:val="00BC1A9F"/>
    <w:rsid w:val="00BC63F9"/>
    <w:rsid w:val="00BE2E75"/>
    <w:rsid w:val="00BF7756"/>
    <w:rsid w:val="00C64ED8"/>
    <w:rsid w:val="00C74D4C"/>
    <w:rsid w:val="00CA30ED"/>
    <w:rsid w:val="00CD7F1D"/>
    <w:rsid w:val="00D07E48"/>
    <w:rsid w:val="00D30D44"/>
    <w:rsid w:val="00D40B9C"/>
    <w:rsid w:val="00D50350"/>
    <w:rsid w:val="00D70227"/>
    <w:rsid w:val="00D736D7"/>
    <w:rsid w:val="00D7702B"/>
    <w:rsid w:val="00D807FC"/>
    <w:rsid w:val="00D906C0"/>
    <w:rsid w:val="00DB4AD0"/>
    <w:rsid w:val="00DC7C47"/>
    <w:rsid w:val="00DD3FF9"/>
    <w:rsid w:val="00DD65F9"/>
    <w:rsid w:val="00DD6E11"/>
    <w:rsid w:val="00DE1AB0"/>
    <w:rsid w:val="00DF2273"/>
    <w:rsid w:val="00DF760E"/>
    <w:rsid w:val="00E003D1"/>
    <w:rsid w:val="00E123D6"/>
    <w:rsid w:val="00E21884"/>
    <w:rsid w:val="00E40992"/>
    <w:rsid w:val="00E45C08"/>
    <w:rsid w:val="00E83F47"/>
    <w:rsid w:val="00E87573"/>
    <w:rsid w:val="00E90D9D"/>
    <w:rsid w:val="00EA3E99"/>
    <w:rsid w:val="00EA62C0"/>
    <w:rsid w:val="00EA7E98"/>
    <w:rsid w:val="00EB34D5"/>
    <w:rsid w:val="00ED58BE"/>
    <w:rsid w:val="00EE0850"/>
    <w:rsid w:val="00F1682B"/>
    <w:rsid w:val="00F30AED"/>
    <w:rsid w:val="00F35C6B"/>
    <w:rsid w:val="00F475E4"/>
    <w:rsid w:val="00F738CE"/>
    <w:rsid w:val="00F77D72"/>
    <w:rsid w:val="00F931AC"/>
    <w:rsid w:val="00F9322E"/>
    <w:rsid w:val="00FA0302"/>
    <w:rsid w:val="00FB3335"/>
    <w:rsid w:val="00FB7FA5"/>
    <w:rsid w:val="00FC3E26"/>
    <w:rsid w:val="00FD424B"/>
    <w:rsid w:val="00FE576F"/>
    <w:rsid w:val="00FF43AE"/>
    <w:rsid w:val="00FF77BB"/>
    <w:rsid w:val="1446744A"/>
    <w:rsid w:val="21762172"/>
    <w:rsid w:val="2AA55802"/>
    <w:rsid w:val="2B6E5792"/>
    <w:rsid w:val="32F12805"/>
    <w:rsid w:val="36487AEC"/>
    <w:rsid w:val="43CA157C"/>
    <w:rsid w:val="4D5E5119"/>
    <w:rsid w:val="5BEA5EBF"/>
    <w:rsid w:val="63D8683C"/>
    <w:rsid w:val="77BD9806"/>
    <w:rsid w:val="7FFD7310"/>
    <w:rsid w:val="B5B7F494"/>
    <w:rsid w:val="E2F76B2A"/>
    <w:rsid w:val="FAFF5472"/>
    <w:rsid w:val="FEEF72E6"/>
    <w:rsid w:val="FFFE922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Heading 1 Char"/>
    <w:basedOn w:val="6"/>
    <w:link w:val="2"/>
    <w:qFormat/>
    <w:locked/>
    <w:uiPriority w:val="99"/>
    <w:rPr>
      <w:rFonts w:ascii="Calibri" w:hAnsi="Calibri" w:eastAsia="宋体" w:cs="Times New Roman"/>
      <w:b/>
      <w:bCs/>
      <w:kern w:val="44"/>
      <w:sz w:val="44"/>
      <w:szCs w:val="44"/>
    </w:rPr>
  </w:style>
  <w:style w:type="character" w:customStyle="1" w:styleId="10">
    <w:name w:val="Footer Char"/>
    <w:basedOn w:val="6"/>
    <w:link w:val="3"/>
    <w:semiHidden/>
    <w:qFormat/>
    <w:locked/>
    <w:uiPriority w:val="99"/>
    <w:rPr>
      <w:rFonts w:ascii="Times New Roman" w:hAnsi="Times New Roman" w:eastAsia="宋体" w:cs="Times New Roman"/>
      <w:sz w:val="18"/>
      <w:szCs w:val="18"/>
    </w:rPr>
  </w:style>
  <w:style w:type="character" w:customStyle="1" w:styleId="11">
    <w:name w:val="Header Char"/>
    <w:basedOn w:val="6"/>
    <w:link w:val="4"/>
    <w:semiHidden/>
    <w:qFormat/>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rPr>
      <w:rFonts w:ascii="等线" w:hAnsi="等线" w:eastAsia="等线"/>
      <w:szCs w:val="22"/>
    </w:rPr>
  </w:style>
  <w:style w:type="paragraph" w:customStyle="1" w:styleId="13">
    <w:name w:val="列出段落1"/>
    <w:basedOn w:val="1"/>
    <w:qFormat/>
    <w:uiPriority w:val="99"/>
    <w:pPr>
      <w:ind w:firstLine="420" w:firstLineChars="200"/>
    </w:pPr>
    <w:rPr>
      <w:rFonts w:ascii="Calibri" w:hAnsi="Calibri"/>
      <w:szCs w:val="22"/>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74</Pages>
  <Words>32783</Words>
  <Characters>33319</Characters>
  <Lines>0</Lines>
  <Paragraphs>0</Paragraphs>
  <TotalTime>10</TotalTime>
  <ScaleCrop>false</ScaleCrop>
  <LinksUpToDate>false</LinksUpToDate>
  <CharactersWithSpaces>41160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2020-09-25T22:50:00Z</dcterms:created>
  <dc:creator>胡玮敏</dc:creator>
  <cp:lastModifiedBy>unis</cp:lastModifiedBy>
  <cp:lastPrinted>2020-09-25T19:04:00Z</cp:lastPrinted>
  <dcterms:modified xsi:type="dcterms:W3CDTF">2024-04-16T09:15:42Z</dcterms:modified>
  <dc:title>缙云县五云街道基层政务公开标准目录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D392FD1683B252103ED11D6635556BCE</vt:lpwstr>
  </property>
</Properties>
</file>