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D3B" w:rsidRDefault="00D95D3B">
      <w:pPr>
        <w:autoSpaceDE w:val="0"/>
        <w:autoSpaceDN w:val="0"/>
        <w:adjustRightInd w:val="0"/>
        <w:spacing w:line="324" w:lineRule="auto"/>
        <w:jc w:val="center"/>
        <w:rPr>
          <w:rFonts w:ascii="黑体" w:eastAsia="黑体"/>
          <w:b/>
          <w:spacing w:val="15"/>
          <w:sz w:val="44"/>
          <w:szCs w:val="24"/>
          <w:highlight w:val="white"/>
          <w:lang w:val="zh-CN"/>
        </w:rPr>
      </w:pPr>
      <w:bookmarkStart w:id="0" w:name="_GoBack"/>
      <w:bookmarkEnd w:id="0"/>
    </w:p>
    <w:p w:rsidR="00D95D3B" w:rsidRDefault="00D95D3B">
      <w:pPr>
        <w:autoSpaceDE w:val="0"/>
        <w:autoSpaceDN w:val="0"/>
        <w:adjustRightInd w:val="0"/>
        <w:spacing w:line="324" w:lineRule="auto"/>
        <w:jc w:val="center"/>
        <w:rPr>
          <w:rFonts w:ascii="黑体" w:eastAsia="黑体"/>
          <w:b/>
          <w:color w:val="000000"/>
          <w:sz w:val="44"/>
          <w:szCs w:val="24"/>
          <w:highlight w:val="white"/>
          <w:lang w:val="zh-CN"/>
        </w:rPr>
      </w:pPr>
      <w:r>
        <w:rPr>
          <w:rFonts w:ascii="黑体" w:eastAsia="黑体" w:hint="eastAsia"/>
          <w:b/>
          <w:spacing w:val="15"/>
          <w:sz w:val="44"/>
          <w:szCs w:val="24"/>
          <w:highlight w:val="white"/>
          <w:lang w:val="zh-CN"/>
        </w:rPr>
        <w:t>缙云县公安局</w:t>
      </w:r>
      <w:r>
        <w:rPr>
          <w:rFonts w:ascii="黑体" w:eastAsia="黑体"/>
          <w:b/>
          <w:color w:val="000000"/>
          <w:sz w:val="44"/>
          <w:szCs w:val="24"/>
          <w:highlight w:val="white"/>
          <w:lang w:val="zh-CN"/>
        </w:rPr>
        <w:t>2022</w:t>
      </w:r>
      <w:r>
        <w:rPr>
          <w:rFonts w:ascii="黑体" w:eastAsia="黑体" w:hint="eastAsia"/>
          <w:b/>
          <w:color w:val="000000"/>
          <w:sz w:val="44"/>
          <w:szCs w:val="24"/>
          <w:highlight w:val="white"/>
          <w:lang w:val="zh-CN"/>
        </w:rPr>
        <w:t>年度单位决算</w:t>
      </w:r>
    </w:p>
    <w:p w:rsidR="00D95D3B" w:rsidRDefault="00D95D3B">
      <w:pPr>
        <w:autoSpaceDE w:val="0"/>
        <w:autoSpaceDN w:val="0"/>
        <w:adjustRightInd w:val="0"/>
        <w:spacing w:line="324" w:lineRule="auto"/>
        <w:jc w:val="center"/>
        <w:rPr>
          <w:rFonts w:ascii="黑体" w:eastAsia="黑体"/>
          <w:b/>
          <w:color w:val="000000"/>
          <w:sz w:val="44"/>
          <w:szCs w:val="24"/>
          <w:highlight w:val="white"/>
          <w:lang w:val="zh-CN"/>
        </w:rPr>
      </w:pPr>
    </w:p>
    <w:p w:rsidR="00D95D3B" w:rsidRDefault="00D95D3B">
      <w:pPr>
        <w:autoSpaceDE w:val="0"/>
        <w:autoSpaceDN w:val="0"/>
        <w:adjustRightInd w:val="0"/>
        <w:spacing w:line="324" w:lineRule="auto"/>
        <w:jc w:val="center"/>
        <w:rPr>
          <w:rFonts w:ascii="黑体" w:eastAsia="黑体"/>
          <w:b/>
          <w:color w:val="000000"/>
          <w:sz w:val="44"/>
          <w:szCs w:val="24"/>
          <w:highlight w:val="white"/>
          <w:lang w:val="zh-CN"/>
        </w:rPr>
      </w:pPr>
      <w:r>
        <w:rPr>
          <w:rFonts w:ascii="黑体" w:eastAsia="黑体" w:hint="eastAsia"/>
          <w:b/>
          <w:color w:val="000000"/>
          <w:sz w:val="44"/>
          <w:szCs w:val="24"/>
          <w:highlight w:val="white"/>
          <w:lang w:val="zh-CN"/>
        </w:rPr>
        <w:t>目</w:t>
      </w:r>
      <w:r>
        <w:rPr>
          <w:rFonts w:ascii="黑体" w:eastAsia="黑体"/>
          <w:b/>
          <w:color w:val="000000"/>
          <w:sz w:val="44"/>
          <w:szCs w:val="24"/>
          <w:highlight w:val="white"/>
          <w:lang w:val="zh-CN"/>
        </w:rPr>
        <w:t xml:space="preserve">  </w:t>
      </w:r>
      <w:r>
        <w:rPr>
          <w:rFonts w:ascii="黑体" w:eastAsia="黑体" w:hint="eastAsia"/>
          <w:b/>
          <w:color w:val="000000"/>
          <w:sz w:val="44"/>
          <w:szCs w:val="24"/>
          <w:highlight w:val="white"/>
          <w:lang w:val="zh-CN"/>
        </w:rPr>
        <w:t>录</w:t>
      </w:r>
    </w:p>
    <w:p w:rsidR="00D95D3B" w:rsidRDefault="00D95D3B">
      <w:pPr>
        <w:autoSpaceDE w:val="0"/>
        <w:autoSpaceDN w:val="0"/>
        <w:adjustRightInd w:val="0"/>
        <w:spacing w:line="600" w:lineRule="exact"/>
        <w:jc w:val="left"/>
        <w:rPr>
          <w:rFonts w:ascii="????_GB2312" w:eastAsia="Times New Roman"/>
          <w:color w:val="000000"/>
          <w:sz w:val="32"/>
          <w:szCs w:val="24"/>
          <w:highlight w:val="white"/>
        </w:rPr>
      </w:pPr>
      <w:r>
        <w:rPr>
          <w:rFonts w:ascii="宋体" w:hAnsi="宋体" w:cs="宋体" w:hint="eastAsia"/>
          <w:color w:val="000000"/>
          <w:sz w:val="32"/>
          <w:szCs w:val="24"/>
          <w:highlight w:val="white"/>
        </w:rPr>
        <w:t>一、概况</w:t>
      </w:r>
      <w:r>
        <w:rPr>
          <w:rFonts w:ascii="????_GB2312" w:eastAsia="Times New Roman"/>
          <w:color w:val="000000"/>
          <w:sz w:val="32"/>
          <w:szCs w:val="24"/>
          <w:highlight w:val="white"/>
        </w:rPr>
        <w:t>...........................................(3)</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（一）单位职责</w:t>
      </w:r>
      <w:r>
        <w:rPr>
          <w:rFonts w:ascii="????_GB2312" w:eastAsia="Times New Roman"/>
          <w:color w:val="000000"/>
          <w:sz w:val="32"/>
          <w:szCs w:val="24"/>
          <w:highlight w:val="white"/>
        </w:rPr>
        <w:t>..............................................(3)</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（二）机构设置</w:t>
      </w:r>
      <w:r>
        <w:rPr>
          <w:rFonts w:ascii="????_GB2312" w:eastAsia="Times New Roman"/>
          <w:color w:val="000000"/>
          <w:sz w:val="32"/>
          <w:szCs w:val="24"/>
          <w:highlight w:val="white"/>
        </w:rPr>
        <w:t>..........................................................(5)</w:t>
      </w:r>
    </w:p>
    <w:p w:rsidR="00D95D3B" w:rsidRDefault="00D95D3B">
      <w:pPr>
        <w:autoSpaceDE w:val="0"/>
        <w:autoSpaceDN w:val="0"/>
        <w:adjustRightInd w:val="0"/>
        <w:spacing w:line="600" w:lineRule="exact"/>
        <w:jc w:val="left"/>
        <w:rPr>
          <w:rFonts w:ascii="????_GB2312" w:eastAsia="Times New Roman"/>
          <w:color w:val="000000"/>
          <w:sz w:val="32"/>
          <w:szCs w:val="24"/>
          <w:highlight w:val="white"/>
        </w:rPr>
      </w:pPr>
      <w:r>
        <w:rPr>
          <w:rFonts w:ascii="宋体" w:hAnsi="宋体" w:cs="宋体" w:hint="eastAsia"/>
          <w:color w:val="000000"/>
          <w:sz w:val="32"/>
          <w:szCs w:val="24"/>
          <w:highlight w:val="white"/>
        </w:rPr>
        <w:t>二、</w:t>
      </w:r>
      <w:r>
        <w:rPr>
          <w:rFonts w:ascii="????_GB2312" w:eastAsia="Times New Roman"/>
          <w:color w:val="000000"/>
          <w:sz w:val="32"/>
          <w:szCs w:val="24"/>
          <w:highlight w:val="white"/>
        </w:rPr>
        <w:t>2022</w:t>
      </w:r>
      <w:r>
        <w:rPr>
          <w:rFonts w:ascii="宋体" w:hAnsi="宋体" w:cs="宋体" w:hint="eastAsia"/>
          <w:color w:val="000000"/>
          <w:sz w:val="32"/>
          <w:szCs w:val="24"/>
          <w:highlight w:val="white"/>
        </w:rPr>
        <w:t>年度单位决算公开表</w:t>
      </w:r>
      <w:r>
        <w:rPr>
          <w:rFonts w:ascii="????_GB2312" w:eastAsia="Times New Roman"/>
          <w:color w:val="000000"/>
          <w:sz w:val="32"/>
          <w:szCs w:val="24"/>
          <w:highlight w:val="white"/>
        </w:rPr>
        <w:t>..................(6)</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（一）收入支出决算总表</w:t>
      </w:r>
      <w:r>
        <w:rPr>
          <w:rFonts w:ascii="????_GB2312" w:eastAsia="Times New Roman"/>
          <w:color w:val="000000"/>
          <w:sz w:val="32"/>
          <w:szCs w:val="24"/>
          <w:highlight w:val="white"/>
        </w:rPr>
        <w:t>.............................................(6)</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（二）收入决算表（分单位）</w:t>
      </w:r>
      <w:r>
        <w:rPr>
          <w:rFonts w:ascii="????_GB2312" w:eastAsia="Times New Roman"/>
          <w:color w:val="000000"/>
          <w:sz w:val="32"/>
          <w:szCs w:val="24"/>
          <w:highlight w:val="white"/>
        </w:rPr>
        <w:t>..........................................(6)</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（三）收入决算表（分科目）</w:t>
      </w:r>
      <w:r>
        <w:rPr>
          <w:rFonts w:ascii="????_GB2312" w:eastAsia="Times New Roman"/>
          <w:color w:val="000000"/>
          <w:sz w:val="32"/>
          <w:szCs w:val="24"/>
          <w:highlight w:val="white"/>
        </w:rPr>
        <w:t>..........................................(7)</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（四）支出决算表（分单位）</w:t>
      </w:r>
      <w:r>
        <w:rPr>
          <w:rFonts w:ascii="????_GB2312" w:eastAsia="Times New Roman"/>
          <w:color w:val="000000"/>
          <w:sz w:val="32"/>
          <w:szCs w:val="24"/>
          <w:highlight w:val="white"/>
        </w:rPr>
        <w:t>..........................................(7)</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（五）支出决算表（分科目）</w:t>
      </w:r>
      <w:r>
        <w:rPr>
          <w:rFonts w:ascii="????_GB2312" w:eastAsia="Times New Roman"/>
          <w:color w:val="000000"/>
          <w:sz w:val="32"/>
          <w:szCs w:val="24"/>
          <w:highlight w:val="white"/>
        </w:rPr>
        <w:t>..........................................(8)</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（六）财政拨款收入支出决算总表</w:t>
      </w:r>
      <w:r>
        <w:rPr>
          <w:rFonts w:ascii="????_GB2312" w:eastAsia="Times New Roman"/>
          <w:color w:val="000000"/>
          <w:sz w:val="32"/>
          <w:szCs w:val="24"/>
          <w:highlight w:val="white"/>
        </w:rPr>
        <w:t>................................(9)</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（七）一般公共预算财政拨款支出决算表</w:t>
      </w:r>
      <w:r>
        <w:rPr>
          <w:rFonts w:ascii="????_GB2312" w:eastAsia="Times New Roman"/>
          <w:color w:val="000000"/>
          <w:sz w:val="32"/>
          <w:szCs w:val="24"/>
          <w:highlight w:val="white"/>
        </w:rPr>
        <w:t>....................(10)</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（八）一般公共预算财政拨款基本支出决算表</w:t>
      </w:r>
      <w:r>
        <w:rPr>
          <w:rFonts w:ascii="????_GB2312" w:eastAsia="Times New Roman"/>
          <w:color w:val="000000"/>
          <w:sz w:val="32"/>
          <w:szCs w:val="24"/>
          <w:highlight w:val="white"/>
        </w:rPr>
        <w:t>.............(11)</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（九）政府性基金预算财政拨款收入支出决算表</w:t>
      </w:r>
      <w:r>
        <w:rPr>
          <w:rFonts w:ascii="????_GB2312" w:eastAsia="Times New Roman"/>
          <w:color w:val="000000"/>
          <w:sz w:val="32"/>
          <w:szCs w:val="24"/>
          <w:highlight w:val="white"/>
        </w:rPr>
        <w:t>..........(11)</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（十）国有资本经营预算财政拨款支出决算表</w:t>
      </w:r>
      <w:r>
        <w:rPr>
          <w:rFonts w:ascii="????_GB2312" w:eastAsia="Times New Roman"/>
          <w:color w:val="000000"/>
          <w:sz w:val="32"/>
          <w:szCs w:val="24"/>
          <w:highlight w:val="white"/>
        </w:rPr>
        <w:t>.............(12)</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（十一）财政拨款</w:t>
      </w:r>
      <w:r>
        <w:rPr>
          <w:rFonts w:eastAsia="Times New Roman"/>
          <w:color w:val="000000"/>
          <w:sz w:val="32"/>
          <w:szCs w:val="24"/>
          <w:highlight w:val="white"/>
        </w:rPr>
        <w:t>“</w:t>
      </w:r>
      <w:r>
        <w:rPr>
          <w:rFonts w:ascii="宋体" w:hAnsi="宋体" w:cs="宋体" w:hint="eastAsia"/>
          <w:color w:val="000000"/>
          <w:sz w:val="32"/>
          <w:szCs w:val="24"/>
          <w:highlight w:val="white"/>
        </w:rPr>
        <w:t>三公</w:t>
      </w:r>
      <w:r>
        <w:rPr>
          <w:rFonts w:eastAsia="Times New Roman"/>
          <w:color w:val="000000"/>
          <w:sz w:val="32"/>
          <w:szCs w:val="24"/>
          <w:highlight w:val="white"/>
        </w:rPr>
        <w:t>”</w:t>
      </w:r>
      <w:r>
        <w:rPr>
          <w:rFonts w:ascii="宋体" w:hAnsi="宋体" w:cs="宋体" w:hint="eastAsia"/>
          <w:color w:val="000000"/>
          <w:sz w:val="32"/>
          <w:szCs w:val="24"/>
          <w:highlight w:val="white"/>
        </w:rPr>
        <w:t>经费支出决算表</w:t>
      </w:r>
      <w:r>
        <w:rPr>
          <w:rFonts w:ascii="????_GB2312" w:eastAsia="Times New Roman"/>
          <w:color w:val="000000"/>
          <w:sz w:val="32"/>
          <w:szCs w:val="24"/>
          <w:highlight w:val="white"/>
        </w:rPr>
        <w:t>..................(12)</w:t>
      </w:r>
    </w:p>
    <w:p w:rsidR="00D95D3B" w:rsidRDefault="00D95D3B">
      <w:pPr>
        <w:autoSpaceDE w:val="0"/>
        <w:autoSpaceDN w:val="0"/>
        <w:adjustRightInd w:val="0"/>
        <w:spacing w:line="600" w:lineRule="exact"/>
        <w:jc w:val="left"/>
        <w:rPr>
          <w:rFonts w:ascii="????_GB2312" w:eastAsia="Times New Roman"/>
          <w:color w:val="000000"/>
          <w:sz w:val="32"/>
          <w:szCs w:val="24"/>
          <w:highlight w:val="white"/>
        </w:rPr>
      </w:pPr>
      <w:r>
        <w:rPr>
          <w:rFonts w:ascii="宋体" w:hAnsi="宋体" w:cs="宋体" w:hint="eastAsia"/>
          <w:color w:val="000000"/>
          <w:sz w:val="32"/>
          <w:szCs w:val="24"/>
          <w:highlight w:val="white"/>
        </w:rPr>
        <w:t>三、</w:t>
      </w:r>
      <w:r>
        <w:rPr>
          <w:rFonts w:ascii="????_GB2312" w:eastAsia="Times New Roman"/>
          <w:color w:val="000000"/>
          <w:sz w:val="32"/>
          <w:szCs w:val="24"/>
          <w:highlight w:val="white"/>
        </w:rPr>
        <w:t>2022</w:t>
      </w:r>
      <w:r>
        <w:rPr>
          <w:rFonts w:ascii="宋体" w:hAnsi="宋体" w:cs="宋体" w:hint="eastAsia"/>
          <w:color w:val="000000"/>
          <w:sz w:val="32"/>
          <w:szCs w:val="24"/>
          <w:highlight w:val="white"/>
        </w:rPr>
        <w:t>年度单位决算情况说明</w:t>
      </w:r>
      <w:r>
        <w:rPr>
          <w:rFonts w:ascii="????_GB2312" w:eastAsia="Times New Roman"/>
          <w:color w:val="000000"/>
          <w:sz w:val="32"/>
          <w:szCs w:val="24"/>
          <w:highlight w:val="white"/>
        </w:rPr>
        <w:t>................( 12 )</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lastRenderedPageBreak/>
        <w:t>（一）收入支出决算总体情况说明</w:t>
      </w:r>
      <w:r>
        <w:rPr>
          <w:rFonts w:ascii="????_GB2312" w:eastAsia="Times New Roman"/>
          <w:color w:val="000000"/>
          <w:sz w:val="32"/>
          <w:szCs w:val="24"/>
          <w:highlight w:val="white"/>
        </w:rPr>
        <w:t>...............................(12)</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（二）收入决算情况说明</w:t>
      </w:r>
      <w:r>
        <w:rPr>
          <w:rFonts w:ascii="????_GB2312" w:eastAsia="Times New Roman"/>
          <w:color w:val="000000"/>
          <w:sz w:val="32"/>
          <w:szCs w:val="24"/>
          <w:highlight w:val="white"/>
        </w:rPr>
        <w:t>.............................................(12)</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（三）支出决算情况说明</w:t>
      </w:r>
      <w:r>
        <w:rPr>
          <w:rFonts w:ascii="????_GB2312" w:eastAsia="Times New Roman"/>
          <w:color w:val="000000"/>
          <w:sz w:val="32"/>
          <w:szCs w:val="24"/>
          <w:highlight w:val="white"/>
        </w:rPr>
        <w:t>...........................................(13)</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（四）财政拨款收入支出决算总体情况说明</w:t>
      </w:r>
      <w:r>
        <w:rPr>
          <w:rFonts w:ascii="????_GB2312" w:eastAsia="Times New Roman"/>
          <w:color w:val="000000"/>
          <w:sz w:val="32"/>
          <w:szCs w:val="24"/>
          <w:highlight w:val="white"/>
        </w:rPr>
        <w:t>.................(13)</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（五）一般公共预算财政拨款支出决算情况说明</w:t>
      </w:r>
      <w:r>
        <w:rPr>
          <w:rFonts w:ascii="????_GB2312" w:eastAsia="Times New Roman"/>
          <w:color w:val="000000"/>
          <w:sz w:val="32"/>
          <w:szCs w:val="24"/>
          <w:highlight w:val="white"/>
        </w:rPr>
        <w:t>..........(13)</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（六）一般公共预算财政拨款基本支出决算情况说明</w:t>
      </w:r>
      <w:r>
        <w:rPr>
          <w:rFonts w:ascii="????_GB2312" w:eastAsia="Times New Roman"/>
          <w:color w:val="000000"/>
          <w:sz w:val="32"/>
          <w:szCs w:val="24"/>
          <w:highlight w:val="white"/>
        </w:rPr>
        <w:t>...(17)</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（七）政府性基金预算财政拨款支出决算总体情况说明</w:t>
      </w:r>
      <w:r>
        <w:rPr>
          <w:rFonts w:ascii="????_GB2312" w:eastAsia="Times New Roman"/>
          <w:color w:val="000000"/>
          <w:sz w:val="32"/>
          <w:szCs w:val="24"/>
          <w:highlight w:val="white"/>
        </w:rPr>
        <w:t>(17)</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（八）国有资本经营预算财政拨款支出决算总体情况说明</w:t>
      </w:r>
      <w:r>
        <w:rPr>
          <w:rFonts w:ascii="????_GB2312" w:eastAsia="Times New Roman"/>
          <w:color w:val="000000"/>
          <w:sz w:val="32"/>
          <w:szCs w:val="24"/>
          <w:highlight w:val="white"/>
        </w:rPr>
        <w:t>.............................................................................(18)</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（九）财政拨款</w:t>
      </w:r>
      <w:r>
        <w:rPr>
          <w:rFonts w:eastAsia="Times New Roman"/>
          <w:color w:val="000000"/>
          <w:sz w:val="32"/>
          <w:szCs w:val="24"/>
          <w:highlight w:val="white"/>
        </w:rPr>
        <w:t>“</w:t>
      </w:r>
      <w:r>
        <w:rPr>
          <w:rFonts w:ascii="宋体" w:hAnsi="宋体" w:cs="宋体" w:hint="eastAsia"/>
          <w:color w:val="000000"/>
          <w:sz w:val="32"/>
          <w:szCs w:val="24"/>
          <w:highlight w:val="white"/>
        </w:rPr>
        <w:t>三公</w:t>
      </w:r>
      <w:r>
        <w:rPr>
          <w:rFonts w:eastAsia="Times New Roman"/>
          <w:color w:val="000000"/>
          <w:sz w:val="32"/>
          <w:szCs w:val="24"/>
          <w:highlight w:val="white"/>
        </w:rPr>
        <w:t>”</w:t>
      </w:r>
      <w:r>
        <w:rPr>
          <w:rFonts w:ascii="宋体" w:hAnsi="宋体" w:cs="宋体" w:hint="eastAsia"/>
          <w:color w:val="000000"/>
          <w:sz w:val="32"/>
          <w:szCs w:val="24"/>
          <w:highlight w:val="white"/>
        </w:rPr>
        <w:t>经费支出决算情况说明</w:t>
      </w:r>
      <w:r>
        <w:rPr>
          <w:rFonts w:ascii="????_GB2312" w:eastAsia="Times New Roman"/>
          <w:color w:val="000000"/>
          <w:sz w:val="32"/>
          <w:szCs w:val="24"/>
          <w:highlight w:val="white"/>
        </w:rPr>
        <w:t>............(18)</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（十）机关运行经费支出说明</w:t>
      </w:r>
      <w:r>
        <w:rPr>
          <w:rFonts w:ascii="????_GB2312" w:eastAsia="Times New Roman"/>
          <w:color w:val="000000"/>
          <w:sz w:val="32"/>
          <w:szCs w:val="24"/>
          <w:highlight w:val="white"/>
        </w:rPr>
        <w:t>......................................(20)</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（十一）政府采购支出说明</w:t>
      </w:r>
      <w:r>
        <w:rPr>
          <w:rFonts w:ascii="????_GB2312" w:eastAsia="Times New Roman"/>
          <w:color w:val="000000"/>
          <w:sz w:val="32"/>
          <w:szCs w:val="24"/>
          <w:highlight w:val="white"/>
        </w:rPr>
        <w:t>..........................................(20)</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（十二）国有资产占有使用情况说明</w:t>
      </w:r>
      <w:r>
        <w:rPr>
          <w:rFonts w:ascii="????_GB2312" w:eastAsia="Times New Roman"/>
          <w:color w:val="000000"/>
          <w:sz w:val="32"/>
          <w:szCs w:val="24"/>
          <w:highlight w:val="white"/>
        </w:rPr>
        <w:t>............................(21)</w:t>
      </w:r>
    </w:p>
    <w:p w:rsidR="00D95D3B" w:rsidRDefault="00D95D3B">
      <w:pPr>
        <w:autoSpaceDE w:val="0"/>
        <w:autoSpaceDN w:val="0"/>
        <w:adjustRightInd w:val="0"/>
        <w:spacing w:line="600" w:lineRule="exact"/>
        <w:ind w:left="420"/>
        <w:jc w:val="left"/>
        <w:rPr>
          <w:rFonts w:ascii="????_GB2312" w:eastAsia="Times New Roman"/>
          <w:color w:val="000000"/>
          <w:sz w:val="32"/>
          <w:szCs w:val="24"/>
          <w:highlight w:val="white"/>
        </w:rPr>
      </w:pPr>
      <w:r>
        <w:rPr>
          <w:rFonts w:ascii="宋体" w:hAnsi="宋体" w:cs="宋体" w:hint="eastAsia"/>
          <w:color w:val="000000"/>
          <w:sz w:val="32"/>
          <w:szCs w:val="24"/>
          <w:highlight w:val="white"/>
        </w:rPr>
        <w:t>（十三）预算绩效情况说明</w:t>
      </w:r>
      <w:r>
        <w:rPr>
          <w:rFonts w:ascii="????_GB2312" w:eastAsia="Times New Roman"/>
          <w:color w:val="000000"/>
          <w:sz w:val="32"/>
          <w:szCs w:val="24"/>
          <w:highlight w:val="white"/>
        </w:rPr>
        <w:t>..........................................(21)</w:t>
      </w:r>
    </w:p>
    <w:p w:rsidR="00D95D3B" w:rsidRDefault="00D95D3B">
      <w:pPr>
        <w:autoSpaceDE w:val="0"/>
        <w:autoSpaceDN w:val="0"/>
        <w:adjustRightInd w:val="0"/>
        <w:spacing w:line="600" w:lineRule="exact"/>
        <w:jc w:val="left"/>
        <w:rPr>
          <w:rFonts w:ascii="????_GB2312" w:eastAsia="Times New Roman"/>
          <w:color w:val="000000"/>
          <w:sz w:val="32"/>
          <w:szCs w:val="24"/>
          <w:highlight w:val="white"/>
        </w:rPr>
      </w:pPr>
      <w:r>
        <w:rPr>
          <w:rFonts w:ascii="宋体" w:hAnsi="宋体" w:cs="宋体" w:hint="eastAsia"/>
          <w:color w:val="000000"/>
          <w:sz w:val="32"/>
          <w:szCs w:val="24"/>
          <w:highlight w:val="white"/>
        </w:rPr>
        <w:t>四、名词解释</w:t>
      </w:r>
      <w:r>
        <w:rPr>
          <w:rFonts w:ascii="????_GB2312" w:eastAsia="Times New Roman"/>
          <w:color w:val="000000"/>
          <w:sz w:val="32"/>
          <w:szCs w:val="24"/>
          <w:highlight w:val="white"/>
        </w:rPr>
        <w:t>.......................................................(28)</w:t>
      </w:r>
    </w:p>
    <w:p w:rsidR="00D95D3B" w:rsidRDefault="00D95D3B">
      <w:pPr>
        <w:autoSpaceDE w:val="0"/>
        <w:autoSpaceDN w:val="0"/>
        <w:adjustRightInd w:val="0"/>
        <w:spacing w:line="600" w:lineRule="exact"/>
        <w:jc w:val="left"/>
        <w:rPr>
          <w:rFonts w:ascii="????_GB2312" w:eastAsia="Times New Roman"/>
          <w:color w:val="000000"/>
          <w:sz w:val="32"/>
          <w:szCs w:val="24"/>
          <w:highlight w:val="white"/>
        </w:rPr>
      </w:pPr>
      <w:r>
        <w:rPr>
          <w:rFonts w:ascii="宋体" w:hAnsi="宋体" w:cs="宋体" w:hint="eastAsia"/>
          <w:color w:val="000000"/>
          <w:sz w:val="32"/>
          <w:szCs w:val="24"/>
          <w:highlight w:val="white"/>
        </w:rPr>
        <w:t>五、附件</w:t>
      </w:r>
      <w:r>
        <w:rPr>
          <w:rFonts w:ascii="????_GB2312" w:eastAsia="Times New Roman"/>
          <w:color w:val="000000"/>
          <w:sz w:val="32"/>
          <w:szCs w:val="24"/>
          <w:highlight w:val="white"/>
        </w:rPr>
        <w:t>..........................................................................(31)</w:t>
      </w:r>
    </w:p>
    <w:p w:rsidR="00D95D3B" w:rsidRDefault="00D95D3B">
      <w:pPr>
        <w:autoSpaceDE w:val="0"/>
        <w:autoSpaceDN w:val="0"/>
        <w:adjustRightInd w:val="0"/>
        <w:spacing w:line="600" w:lineRule="exact"/>
        <w:jc w:val="left"/>
        <w:rPr>
          <w:rFonts w:ascii="??" w:eastAsia="Times New Roman"/>
          <w:sz w:val="22"/>
          <w:szCs w:val="24"/>
        </w:rPr>
      </w:pPr>
    </w:p>
    <w:p w:rsidR="00D95D3B" w:rsidRDefault="00D95D3B">
      <w:pPr>
        <w:autoSpaceDE w:val="0"/>
        <w:autoSpaceDN w:val="0"/>
        <w:adjustRightInd w:val="0"/>
        <w:spacing w:line="600" w:lineRule="exact"/>
        <w:jc w:val="left"/>
        <w:rPr>
          <w:rFonts w:ascii="??" w:eastAsia="Times New Roman"/>
          <w:sz w:val="22"/>
          <w:szCs w:val="24"/>
        </w:rPr>
      </w:pPr>
    </w:p>
    <w:p w:rsidR="00D95D3B" w:rsidRDefault="00D95D3B">
      <w:pPr>
        <w:autoSpaceDE w:val="0"/>
        <w:autoSpaceDN w:val="0"/>
        <w:adjustRightInd w:val="0"/>
        <w:spacing w:line="600" w:lineRule="exact"/>
        <w:jc w:val="left"/>
        <w:rPr>
          <w:rFonts w:ascii="??" w:eastAsia="Times New Roman"/>
          <w:sz w:val="22"/>
          <w:szCs w:val="24"/>
        </w:rPr>
      </w:pPr>
    </w:p>
    <w:p w:rsidR="00D95D3B" w:rsidRDefault="00D95D3B">
      <w:pPr>
        <w:autoSpaceDE w:val="0"/>
        <w:autoSpaceDN w:val="0"/>
        <w:adjustRightInd w:val="0"/>
        <w:spacing w:line="600" w:lineRule="exact"/>
        <w:jc w:val="left"/>
        <w:rPr>
          <w:rFonts w:ascii="??" w:eastAsia="Times New Roman"/>
          <w:sz w:val="22"/>
          <w:szCs w:val="24"/>
        </w:rPr>
      </w:pPr>
    </w:p>
    <w:p w:rsidR="00D95D3B" w:rsidRDefault="00D95D3B">
      <w:pPr>
        <w:autoSpaceDE w:val="0"/>
        <w:autoSpaceDN w:val="0"/>
        <w:adjustRightInd w:val="0"/>
        <w:spacing w:line="600" w:lineRule="exact"/>
        <w:jc w:val="left"/>
        <w:rPr>
          <w:rFonts w:ascii="??" w:eastAsia="Times New Roman"/>
          <w:sz w:val="22"/>
          <w:szCs w:val="24"/>
        </w:rPr>
      </w:pPr>
    </w:p>
    <w:p w:rsidR="00D95D3B" w:rsidRDefault="00D95D3B">
      <w:pPr>
        <w:keepNext/>
        <w:keepLines/>
        <w:autoSpaceDE w:val="0"/>
        <w:autoSpaceDN w:val="0"/>
        <w:adjustRightInd w:val="0"/>
        <w:spacing w:line="600" w:lineRule="exact"/>
        <w:ind w:firstLine="641"/>
        <w:jc w:val="left"/>
        <w:rPr>
          <w:rFonts w:ascii="黑体" w:eastAsia="黑体"/>
          <w:b/>
          <w:color w:val="000000"/>
          <w:sz w:val="32"/>
          <w:szCs w:val="24"/>
          <w:highlight w:val="white"/>
        </w:rPr>
      </w:pPr>
      <w:r>
        <w:rPr>
          <w:rFonts w:ascii="黑体" w:eastAsia="黑体" w:hint="eastAsia"/>
          <w:b/>
          <w:color w:val="000000"/>
          <w:sz w:val="32"/>
          <w:szCs w:val="24"/>
          <w:highlight w:val="white"/>
        </w:rPr>
        <w:lastRenderedPageBreak/>
        <w:t>一、概况</w:t>
      </w:r>
    </w:p>
    <w:p w:rsidR="00D95D3B" w:rsidRDefault="00D95D3B">
      <w:pPr>
        <w:autoSpaceDE w:val="0"/>
        <w:autoSpaceDN w:val="0"/>
        <w:adjustRightInd w:val="0"/>
        <w:spacing w:line="600" w:lineRule="exact"/>
        <w:ind w:firstLine="641"/>
        <w:jc w:val="left"/>
        <w:rPr>
          <w:rFonts w:ascii="楷体" w:eastAsia="楷体"/>
          <w:b/>
          <w:color w:val="000000"/>
          <w:sz w:val="32"/>
          <w:szCs w:val="24"/>
          <w:highlight w:val="white"/>
        </w:rPr>
      </w:pPr>
      <w:r>
        <w:rPr>
          <w:rFonts w:ascii="楷体" w:eastAsia="楷体" w:hint="eastAsia"/>
          <w:b/>
          <w:color w:val="000000"/>
          <w:sz w:val="32"/>
          <w:szCs w:val="24"/>
          <w:highlight w:val="white"/>
        </w:rPr>
        <w:t>（一）单位职责</w:t>
      </w:r>
    </w:p>
    <w:p w:rsidR="00D95D3B" w:rsidRDefault="00D95D3B">
      <w:pPr>
        <w:widowControl/>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1.</w:t>
      </w:r>
      <w:r>
        <w:rPr>
          <w:rFonts w:ascii="仿宋" w:eastAsia="仿宋" w:hint="eastAsia"/>
          <w:color w:val="000000"/>
          <w:sz w:val="32"/>
          <w:szCs w:val="24"/>
          <w:highlight w:val="white"/>
        </w:rPr>
        <w:t>贯彻执行党和国家有关公安工作的方针、政策、法律、法规和县委县政府及上级公安机关的指示，研究起草有关公安工作的规范性文件。</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2.</w:t>
      </w:r>
      <w:r>
        <w:rPr>
          <w:rFonts w:ascii="仿宋" w:eastAsia="仿宋" w:hint="eastAsia"/>
          <w:color w:val="000000"/>
          <w:sz w:val="32"/>
          <w:szCs w:val="24"/>
          <w:highlight w:val="white"/>
        </w:rPr>
        <w:t>掌握影响社会稳定、危害国家安全和社会治安的情况，分析研判形势，研究提出对策措施。负责</w:t>
      </w:r>
      <w:r>
        <w:rPr>
          <w:rFonts w:ascii="仿宋" w:eastAsia="仿宋"/>
          <w:color w:val="000000"/>
          <w:sz w:val="32"/>
          <w:szCs w:val="24"/>
          <w:highlight w:val="white"/>
        </w:rPr>
        <w:t>110</w:t>
      </w:r>
      <w:r>
        <w:rPr>
          <w:rFonts w:ascii="仿宋" w:eastAsia="仿宋" w:hint="eastAsia"/>
          <w:color w:val="000000"/>
          <w:sz w:val="32"/>
          <w:szCs w:val="24"/>
          <w:highlight w:val="white"/>
        </w:rPr>
        <w:t>接处警和公安情报信息工作。组织、协调、部署全县反恐工作。</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3.</w:t>
      </w:r>
      <w:r>
        <w:rPr>
          <w:rFonts w:ascii="仿宋" w:eastAsia="仿宋" w:hint="eastAsia"/>
          <w:color w:val="000000"/>
          <w:sz w:val="32"/>
          <w:szCs w:val="24"/>
          <w:highlight w:val="white"/>
        </w:rPr>
        <w:t>负责对危害国内安全案件的侦查，反邪教方面的治安管控、情报分析、打击处置，对境内外敌对势力、邪教组织、黑社会性组织的侦控和基础调查工作。</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4.</w:t>
      </w:r>
      <w:r>
        <w:rPr>
          <w:rFonts w:ascii="仿宋" w:eastAsia="仿宋" w:hint="eastAsia"/>
          <w:color w:val="000000"/>
          <w:sz w:val="32"/>
          <w:szCs w:val="24"/>
          <w:highlight w:val="white"/>
        </w:rPr>
        <w:t>负责经济、刑事犯罪等侦办工作及上级交办案件的侦查工作。负责公安技术侦察工作。</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5.</w:t>
      </w:r>
      <w:r>
        <w:rPr>
          <w:rFonts w:ascii="仿宋" w:eastAsia="仿宋" w:hint="eastAsia"/>
          <w:color w:val="000000"/>
          <w:sz w:val="32"/>
          <w:szCs w:val="24"/>
          <w:highlight w:val="white"/>
        </w:rPr>
        <w:t>负责依法查处危害社会治安秩序行为，依法管理户籍、流动人口、居民身份证、危险物品、特种行业，依法管理内河水域治安工作，组织对重特大治安事件和突发性事件的处置工作，管理集会、游行、示威活动。负责处突防暴工作。</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6.</w:t>
      </w:r>
      <w:r>
        <w:rPr>
          <w:rFonts w:ascii="仿宋" w:eastAsia="仿宋" w:hint="eastAsia"/>
          <w:color w:val="000000"/>
          <w:sz w:val="32"/>
          <w:szCs w:val="24"/>
          <w:highlight w:val="white"/>
        </w:rPr>
        <w:t>根据权限，负责出入境和外国人在本县范围内的居留、旅行、工作等有关管理工作。负责国籍管理、移民管理、难民管理和非法移民遣返有关工作。</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7.</w:t>
      </w:r>
      <w:r>
        <w:rPr>
          <w:rFonts w:ascii="仿宋" w:eastAsia="仿宋" w:hint="eastAsia"/>
          <w:color w:val="000000"/>
          <w:sz w:val="32"/>
          <w:szCs w:val="24"/>
          <w:highlight w:val="white"/>
        </w:rPr>
        <w:t>依法监督指导全县机关、团体、企事业单位和重点工程</w:t>
      </w:r>
      <w:r>
        <w:rPr>
          <w:rFonts w:ascii="仿宋" w:eastAsia="仿宋" w:hint="eastAsia"/>
          <w:color w:val="000000"/>
          <w:sz w:val="32"/>
          <w:szCs w:val="24"/>
          <w:highlight w:val="white"/>
        </w:rPr>
        <w:lastRenderedPageBreak/>
        <w:t>的治安保卫工作，指导群众性治安保卫组织的治安防范工作。负责保安服务活动的监督管理工作。</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8.</w:t>
      </w:r>
      <w:r>
        <w:rPr>
          <w:rFonts w:ascii="仿宋" w:eastAsia="仿宋" w:hint="eastAsia"/>
          <w:color w:val="000000"/>
          <w:sz w:val="32"/>
          <w:szCs w:val="24"/>
          <w:highlight w:val="white"/>
        </w:rPr>
        <w:t>按照规定权限，组织、指导、监督、管理计算机信息系统关键信息基础设施及互联网安全保护工作，负责网络监控、网络技术侦察和网络犯罪侦查。</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9.</w:t>
      </w:r>
      <w:r>
        <w:rPr>
          <w:rFonts w:ascii="仿宋" w:eastAsia="仿宋" w:hint="eastAsia"/>
          <w:color w:val="000000"/>
          <w:sz w:val="32"/>
          <w:szCs w:val="24"/>
          <w:highlight w:val="white"/>
        </w:rPr>
        <w:t>负责和实施看守所、拘留所的管理工作。</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10.</w:t>
      </w:r>
      <w:r>
        <w:rPr>
          <w:rFonts w:ascii="仿宋" w:eastAsia="仿宋" w:hint="eastAsia"/>
          <w:color w:val="000000"/>
          <w:sz w:val="32"/>
          <w:szCs w:val="24"/>
          <w:highlight w:val="white"/>
        </w:rPr>
        <w:t>负责禁毒缉毒工作。</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11.</w:t>
      </w:r>
      <w:r>
        <w:rPr>
          <w:rFonts w:ascii="仿宋" w:eastAsia="仿宋" w:hint="eastAsia"/>
          <w:color w:val="000000"/>
          <w:sz w:val="32"/>
          <w:szCs w:val="24"/>
          <w:highlight w:val="white"/>
        </w:rPr>
        <w:t>组织、协调、指导重大活动和重要会议的安全保卫工作。按规定权限和分工，组织实施国家规定的警卫对象的安全警卫工作。</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12.</w:t>
      </w:r>
      <w:r>
        <w:rPr>
          <w:rFonts w:ascii="仿宋" w:eastAsia="仿宋" w:hint="eastAsia"/>
          <w:color w:val="000000"/>
          <w:sz w:val="32"/>
          <w:szCs w:val="24"/>
          <w:highlight w:val="white"/>
        </w:rPr>
        <w:t>负责社会公共安全技术防范的行业管理及其在公安领域的推广应用。</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13.</w:t>
      </w:r>
      <w:r>
        <w:rPr>
          <w:rFonts w:ascii="仿宋" w:eastAsia="仿宋" w:hint="eastAsia"/>
          <w:color w:val="000000"/>
          <w:sz w:val="32"/>
          <w:szCs w:val="24"/>
          <w:highlight w:val="white"/>
        </w:rPr>
        <w:t>指导铁路、森林等公安机构的业务工作。</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14.</w:t>
      </w:r>
      <w:r>
        <w:rPr>
          <w:rFonts w:ascii="仿宋" w:eastAsia="仿宋" w:hint="eastAsia"/>
          <w:color w:val="000000"/>
          <w:sz w:val="32"/>
          <w:szCs w:val="24"/>
          <w:highlight w:val="white"/>
        </w:rPr>
        <w:t>完成县委、县政府交办的其他任务。</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15.</w:t>
      </w:r>
      <w:r>
        <w:rPr>
          <w:rFonts w:ascii="仿宋" w:eastAsia="仿宋" w:hint="eastAsia"/>
          <w:color w:val="000000"/>
          <w:sz w:val="32"/>
          <w:szCs w:val="24"/>
          <w:highlight w:val="white"/>
        </w:rPr>
        <w:t>职能转变。坚持和发展新时代</w:t>
      </w:r>
      <w:r>
        <w:rPr>
          <w:rFonts w:eastAsia="仿宋"/>
          <w:color w:val="000000"/>
          <w:sz w:val="32"/>
          <w:szCs w:val="24"/>
          <w:highlight w:val="white"/>
        </w:rPr>
        <w:t>“</w:t>
      </w:r>
      <w:r>
        <w:rPr>
          <w:rFonts w:ascii="仿宋" w:eastAsia="仿宋" w:hint="eastAsia"/>
          <w:color w:val="000000"/>
          <w:sz w:val="32"/>
          <w:szCs w:val="24"/>
          <w:highlight w:val="white"/>
        </w:rPr>
        <w:t>枫桥经验</w:t>
      </w:r>
      <w:r>
        <w:rPr>
          <w:rFonts w:eastAsia="仿宋"/>
          <w:color w:val="000000"/>
          <w:sz w:val="32"/>
          <w:szCs w:val="24"/>
          <w:highlight w:val="white"/>
        </w:rPr>
        <w:t>”</w:t>
      </w:r>
      <w:r>
        <w:rPr>
          <w:rFonts w:ascii="仿宋" w:eastAsia="仿宋" w:hint="eastAsia"/>
          <w:color w:val="000000"/>
          <w:sz w:val="32"/>
          <w:szCs w:val="24"/>
          <w:highlight w:val="white"/>
        </w:rPr>
        <w:t>，全面提升推广枫桥警务模式，构建情报引领、科技支撑的立体化精准化基层基础新生态，推动基层社会治理创新。以深入开展扫黑除恶专项斗争为龙头推进重点治理，服务保障经济高质量发展。深化公安领域</w:t>
      </w:r>
      <w:r>
        <w:rPr>
          <w:rFonts w:eastAsia="仿宋"/>
          <w:color w:val="000000"/>
          <w:sz w:val="32"/>
          <w:szCs w:val="24"/>
          <w:highlight w:val="white"/>
        </w:rPr>
        <w:t>“</w:t>
      </w:r>
      <w:r>
        <w:rPr>
          <w:rFonts w:ascii="仿宋" w:eastAsia="仿宋" w:hint="eastAsia"/>
          <w:color w:val="000000"/>
          <w:sz w:val="32"/>
          <w:szCs w:val="24"/>
          <w:highlight w:val="white"/>
        </w:rPr>
        <w:t>最多跑一次</w:t>
      </w:r>
      <w:r>
        <w:rPr>
          <w:rFonts w:eastAsia="仿宋"/>
          <w:color w:val="000000"/>
          <w:sz w:val="32"/>
          <w:szCs w:val="24"/>
          <w:highlight w:val="white"/>
        </w:rPr>
        <w:t>”</w:t>
      </w:r>
      <w:r>
        <w:rPr>
          <w:rFonts w:ascii="仿宋" w:eastAsia="仿宋" w:hint="eastAsia"/>
          <w:color w:val="000000"/>
          <w:sz w:val="32"/>
          <w:szCs w:val="24"/>
          <w:highlight w:val="white"/>
        </w:rPr>
        <w:t>改革，继续推进简政放权，加大警种之间的业务协同，着力推进公安服务高效办、就近办、一网办、一证办，进一步提升公安服务能力和服务水平。大力推动公安</w:t>
      </w:r>
      <w:r>
        <w:rPr>
          <w:rFonts w:ascii="仿宋" w:eastAsia="仿宋" w:hint="eastAsia"/>
          <w:color w:val="000000"/>
          <w:sz w:val="32"/>
          <w:szCs w:val="24"/>
          <w:highlight w:val="white"/>
        </w:rPr>
        <w:lastRenderedPageBreak/>
        <w:t>工作数字化转型，深化</w:t>
      </w:r>
      <w:r>
        <w:rPr>
          <w:rFonts w:eastAsia="仿宋"/>
          <w:color w:val="000000"/>
          <w:sz w:val="32"/>
          <w:szCs w:val="24"/>
          <w:highlight w:val="white"/>
        </w:rPr>
        <w:t>“</w:t>
      </w:r>
      <w:r>
        <w:rPr>
          <w:rFonts w:ascii="仿宋" w:eastAsia="仿宋" w:hint="eastAsia"/>
          <w:color w:val="000000"/>
          <w:sz w:val="32"/>
          <w:szCs w:val="24"/>
          <w:highlight w:val="white"/>
        </w:rPr>
        <w:t>云上公安、智能防控</w:t>
      </w:r>
      <w:r>
        <w:rPr>
          <w:rFonts w:eastAsia="仿宋"/>
          <w:color w:val="000000"/>
          <w:sz w:val="32"/>
          <w:szCs w:val="24"/>
          <w:highlight w:val="white"/>
        </w:rPr>
        <w:t>”</w:t>
      </w:r>
      <w:r>
        <w:rPr>
          <w:rFonts w:ascii="仿宋" w:eastAsia="仿宋" w:hint="eastAsia"/>
          <w:color w:val="000000"/>
          <w:sz w:val="32"/>
          <w:szCs w:val="24"/>
          <w:highlight w:val="white"/>
        </w:rPr>
        <w:t>大数据战略，提高预警、预测、预防水平，切实提高社会安全感和满意度。</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color w:val="000000"/>
          <w:sz w:val="32"/>
          <w:szCs w:val="24"/>
          <w:highlight w:val="white"/>
        </w:rPr>
        <w:t>16.</w:t>
      </w:r>
      <w:r>
        <w:rPr>
          <w:rFonts w:ascii="仿宋" w:eastAsia="仿宋" w:hint="eastAsia"/>
          <w:color w:val="000000"/>
          <w:sz w:val="32"/>
          <w:szCs w:val="24"/>
          <w:highlight w:val="white"/>
        </w:rPr>
        <w:t>与县市场监督管理局的有关职责分工。</w:t>
      </w:r>
    </w:p>
    <w:p w:rsidR="00D95D3B" w:rsidRDefault="00D95D3B">
      <w:pPr>
        <w:autoSpaceDE w:val="0"/>
        <w:autoSpaceDN w:val="0"/>
        <w:adjustRightInd w:val="0"/>
        <w:spacing w:line="600" w:lineRule="exact"/>
        <w:ind w:firstLine="640"/>
        <w:jc w:val="left"/>
        <w:rPr>
          <w:rFonts w:ascii="仿宋" w:eastAsia="仿宋"/>
          <w:color w:val="000000"/>
          <w:sz w:val="32"/>
          <w:szCs w:val="24"/>
          <w:highlight w:val="white"/>
        </w:rPr>
      </w:pPr>
      <w:r>
        <w:rPr>
          <w:rFonts w:ascii="仿宋" w:eastAsia="仿宋" w:hint="eastAsia"/>
          <w:color w:val="000000"/>
          <w:sz w:val="32"/>
          <w:szCs w:val="24"/>
          <w:highlight w:val="white"/>
        </w:rPr>
        <w:t>县市场监督管理局与县公安局建立行政执法和刑事司法工作衔接机制。市场监督管理部门发现违法行为涉嫌犯罪的，应当按照有关规定及时移送公安机关，公安机关应当迅速进行审查，并依法作出立案或者不予立案的决定。公安机关依法提请市场监督管理部门作出检验、鉴定、认定等协助的，市场监督管理部门应当予以协助。</w:t>
      </w:r>
    </w:p>
    <w:p w:rsidR="00D95D3B" w:rsidRDefault="00D95D3B">
      <w:pPr>
        <w:autoSpaceDE w:val="0"/>
        <w:autoSpaceDN w:val="0"/>
        <w:adjustRightInd w:val="0"/>
        <w:spacing w:line="600" w:lineRule="exact"/>
        <w:ind w:firstLine="641"/>
        <w:jc w:val="left"/>
        <w:rPr>
          <w:rFonts w:ascii="楷体" w:eastAsia="楷体" w:hAnsi="Times New Roman"/>
          <w:b/>
          <w:color w:val="000000"/>
          <w:sz w:val="32"/>
          <w:szCs w:val="24"/>
          <w:highlight w:val="white"/>
        </w:rPr>
      </w:pPr>
      <w:r>
        <w:rPr>
          <w:rFonts w:ascii="楷体" w:eastAsia="楷体" w:hAnsi="Times New Roman" w:hint="eastAsia"/>
          <w:b/>
          <w:color w:val="000000"/>
          <w:sz w:val="32"/>
          <w:szCs w:val="24"/>
          <w:highlight w:val="white"/>
        </w:rPr>
        <w:t>（二）机构设置</w:t>
      </w:r>
    </w:p>
    <w:p w:rsidR="00D95D3B" w:rsidRDefault="00D95D3B">
      <w:pPr>
        <w:autoSpaceDE w:val="0"/>
        <w:autoSpaceDN w:val="0"/>
        <w:adjustRightInd w:val="0"/>
        <w:spacing w:line="620" w:lineRule="exact"/>
        <w:ind w:firstLine="640"/>
        <w:rPr>
          <w:rFonts w:ascii="仿宋" w:eastAsia="仿宋" w:hAnsi="Times New Roman"/>
          <w:spacing w:val="10"/>
          <w:sz w:val="32"/>
          <w:szCs w:val="24"/>
        </w:rPr>
      </w:pPr>
      <w:r>
        <w:rPr>
          <w:rFonts w:ascii="仿宋" w:eastAsia="仿宋" w:hAnsi="Times New Roman" w:hint="eastAsia"/>
          <w:color w:val="000000"/>
          <w:sz w:val="32"/>
          <w:szCs w:val="24"/>
          <w:highlight w:val="white"/>
        </w:rPr>
        <w:t>从预算单位构成看，本单位内设：</w:t>
      </w:r>
      <w:r>
        <w:rPr>
          <w:rFonts w:ascii="宋体" w:hAnsi="Times New Roman" w:hint="eastAsia"/>
          <w:sz w:val="32"/>
          <w:szCs w:val="24"/>
        </w:rPr>
        <w:t>办公室、政治处、</w:t>
      </w:r>
      <w:r>
        <w:rPr>
          <w:rFonts w:ascii="仿宋" w:eastAsia="仿宋" w:hAnsi="Times New Roman" w:hint="eastAsia"/>
          <w:spacing w:val="10"/>
          <w:sz w:val="32"/>
          <w:szCs w:val="24"/>
        </w:rPr>
        <w:t>刑事侦查大队、治安大队、警务保障室等</w:t>
      </w:r>
      <w:r>
        <w:rPr>
          <w:rFonts w:ascii="仿宋" w:eastAsia="仿宋" w:hAnsi="Times New Roman"/>
          <w:spacing w:val="10"/>
          <w:sz w:val="32"/>
          <w:szCs w:val="24"/>
        </w:rPr>
        <w:t>30</w:t>
      </w:r>
      <w:r>
        <w:rPr>
          <w:rFonts w:ascii="仿宋" w:eastAsia="仿宋" w:hAnsi="Times New Roman" w:hint="eastAsia"/>
          <w:spacing w:val="10"/>
          <w:sz w:val="32"/>
          <w:szCs w:val="24"/>
        </w:rPr>
        <w:t>个职能部门和派出机构。</w:t>
      </w:r>
    </w:p>
    <w:p w:rsidR="00D95D3B" w:rsidRDefault="00D95D3B">
      <w:pPr>
        <w:keepNext/>
        <w:keepLines/>
        <w:autoSpaceDE w:val="0"/>
        <w:autoSpaceDN w:val="0"/>
        <w:adjustRightInd w:val="0"/>
        <w:spacing w:line="600" w:lineRule="exact"/>
        <w:ind w:firstLine="641"/>
        <w:jc w:val="left"/>
        <w:rPr>
          <w:rFonts w:ascii="黑体" w:eastAsia="黑体" w:hAnsi="Times New Roman"/>
          <w:b/>
          <w:color w:val="000000"/>
          <w:sz w:val="32"/>
          <w:szCs w:val="24"/>
          <w:highlight w:val="white"/>
        </w:rPr>
      </w:pPr>
      <w:r>
        <w:rPr>
          <w:rFonts w:ascii="黑体" w:eastAsia="黑体" w:hAnsi="Times New Roman" w:hint="eastAsia"/>
          <w:b/>
          <w:color w:val="000000"/>
          <w:sz w:val="32"/>
          <w:szCs w:val="24"/>
          <w:highlight w:val="white"/>
        </w:rPr>
        <w:lastRenderedPageBreak/>
        <w:t>二、</w:t>
      </w:r>
      <w:r>
        <w:rPr>
          <w:rFonts w:ascii="黑体" w:eastAsia="黑体" w:hAnsi="Times New Roman"/>
          <w:b/>
          <w:color w:val="000000"/>
          <w:sz w:val="32"/>
          <w:szCs w:val="24"/>
          <w:highlight w:val="white"/>
        </w:rPr>
        <w:t>2022</w:t>
      </w:r>
      <w:r>
        <w:rPr>
          <w:rFonts w:ascii="黑体" w:eastAsia="黑体" w:hAnsi="Times New Roman" w:hint="eastAsia"/>
          <w:b/>
          <w:color w:val="000000"/>
          <w:sz w:val="32"/>
          <w:szCs w:val="24"/>
          <w:highlight w:val="white"/>
        </w:rPr>
        <w:t>年度部门（单位）决算公开表</w:t>
      </w:r>
    </w:p>
    <w:p w:rsidR="00D95D3B" w:rsidRDefault="00F17021">
      <w:pPr>
        <w:autoSpaceDE w:val="0"/>
        <w:autoSpaceDN w:val="0"/>
        <w:adjustRightInd w:val="0"/>
        <w:ind w:firstLine="640"/>
        <w:rPr>
          <w:rFonts w:ascii="仿宋" w:eastAsia="仿宋" w:hAnsi="Times New Roman"/>
          <w:color w:val="000000"/>
          <w:sz w:val="32"/>
          <w:szCs w:val="24"/>
          <w:highlight w:val="white"/>
        </w:rPr>
      </w:pPr>
      <w:r>
        <w:rPr>
          <w:rFonts w:ascii="仿宋" w:eastAsia="仿宋" w:hAnsi="Times New Roman"/>
          <w:noProof/>
          <w:color w:val="000000"/>
          <w:sz w:val="32"/>
          <w:szCs w:val="24"/>
        </w:rPr>
        <w:drawing>
          <wp:inline distT="0" distB="0" distL="0" distR="0">
            <wp:extent cx="5486400" cy="4450080"/>
            <wp:effectExtent l="0" t="0" r="0" b="7620"/>
            <wp:docPr id="1" name="鍥剧墖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鍥剧墖 9"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450080"/>
                    </a:xfrm>
                    <a:prstGeom prst="rect">
                      <a:avLst/>
                    </a:prstGeom>
                    <a:noFill/>
                    <a:ln>
                      <a:noFill/>
                    </a:ln>
                  </pic:spPr>
                </pic:pic>
              </a:graphicData>
            </a:graphic>
          </wp:inline>
        </w:drawing>
      </w:r>
      <w:r>
        <w:rPr>
          <w:rFonts w:ascii="仿宋" w:eastAsia="仿宋" w:hAnsi="Times New Roman"/>
          <w:noProof/>
          <w:color w:val="000000"/>
          <w:sz w:val="32"/>
          <w:szCs w:val="24"/>
        </w:rPr>
        <w:drawing>
          <wp:inline distT="0" distB="0" distL="0" distR="0">
            <wp:extent cx="5463540" cy="2423160"/>
            <wp:effectExtent l="0" t="0" r="3810" b="0"/>
            <wp:docPr id="2" name="鍥剧墖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鍥剧墖 8"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3540" cy="2423160"/>
                    </a:xfrm>
                    <a:prstGeom prst="rect">
                      <a:avLst/>
                    </a:prstGeom>
                    <a:noFill/>
                    <a:ln>
                      <a:noFill/>
                    </a:ln>
                  </pic:spPr>
                </pic:pic>
              </a:graphicData>
            </a:graphic>
          </wp:inline>
        </w:drawing>
      </w:r>
      <w:r>
        <w:rPr>
          <w:rFonts w:ascii="仿宋" w:eastAsia="仿宋" w:hAnsi="Times New Roman"/>
          <w:noProof/>
          <w:color w:val="000000"/>
          <w:sz w:val="32"/>
          <w:szCs w:val="24"/>
        </w:rPr>
        <w:lastRenderedPageBreak/>
        <w:drawing>
          <wp:inline distT="0" distB="0" distL="0" distR="0">
            <wp:extent cx="5440680" cy="3581400"/>
            <wp:effectExtent l="0" t="0" r="7620" b="0"/>
            <wp:docPr id="3" name="鍥剧墖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鍥剧墖 7"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680" cy="3581400"/>
                    </a:xfrm>
                    <a:prstGeom prst="rect">
                      <a:avLst/>
                    </a:prstGeom>
                    <a:noFill/>
                    <a:ln>
                      <a:noFill/>
                    </a:ln>
                  </pic:spPr>
                </pic:pic>
              </a:graphicData>
            </a:graphic>
          </wp:inline>
        </w:drawing>
      </w:r>
      <w:r>
        <w:rPr>
          <w:rFonts w:ascii="仿宋" w:eastAsia="仿宋" w:hAnsi="Times New Roman"/>
          <w:noProof/>
          <w:color w:val="000000"/>
          <w:sz w:val="32"/>
          <w:szCs w:val="24"/>
        </w:rPr>
        <w:drawing>
          <wp:inline distT="0" distB="0" distL="0" distR="0">
            <wp:extent cx="5478780" cy="2049780"/>
            <wp:effectExtent l="0" t="0" r="7620" b="7620"/>
            <wp:docPr id="4" name="鍥剧墖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鍥剧墖 6"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780" cy="2049780"/>
                    </a:xfrm>
                    <a:prstGeom prst="rect">
                      <a:avLst/>
                    </a:prstGeom>
                    <a:noFill/>
                    <a:ln>
                      <a:noFill/>
                    </a:ln>
                  </pic:spPr>
                </pic:pic>
              </a:graphicData>
            </a:graphic>
          </wp:inline>
        </w:drawing>
      </w:r>
      <w:r>
        <w:rPr>
          <w:rFonts w:ascii="仿宋" w:eastAsia="仿宋" w:hAnsi="Times New Roman"/>
          <w:noProof/>
          <w:color w:val="000000"/>
          <w:sz w:val="32"/>
          <w:szCs w:val="24"/>
        </w:rPr>
        <w:lastRenderedPageBreak/>
        <w:drawing>
          <wp:inline distT="0" distB="0" distL="0" distR="0">
            <wp:extent cx="5455920" cy="3863340"/>
            <wp:effectExtent l="0" t="0" r="0" b="3810"/>
            <wp:docPr id="5" name="鍥剧墖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鍥剧墖 5" descr="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5920" cy="3863340"/>
                    </a:xfrm>
                    <a:prstGeom prst="rect">
                      <a:avLst/>
                    </a:prstGeom>
                    <a:noFill/>
                    <a:ln>
                      <a:noFill/>
                    </a:ln>
                  </pic:spPr>
                </pic:pic>
              </a:graphicData>
            </a:graphic>
          </wp:inline>
        </w:drawing>
      </w:r>
      <w:r>
        <w:rPr>
          <w:rFonts w:ascii="仿宋" w:eastAsia="仿宋" w:hAnsi="Times New Roman"/>
          <w:noProof/>
          <w:color w:val="000000"/>
          <w:sz w:val="32"/>
          <w:szCs w:val="24"/>
        </w:rPr>
        <w:lastRenderedPageBreak/>
        <w:drawing>
          <wp:inline distT="0" distB="0" distL="0" distR="0">
            <wp:extent cx="5455920" cy="5036820"/>
            <wp:effectExtent l="0" t="0" r="0" b="0"/>
            <wp:docPr id="6" name="鍥剧墖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鍥剧墖 4" descr="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5920" cy="5036820"/>
                    </a:xfrm>
                    <a:prstGeom prst="rect">
                      <a:avLst/>
                    </a:prstGeom>
                    <a:noFill/>
                    <a:ln>
                      <a:noFill/>
                    </a:ln>
                  </pic:spPr>
                </pic:pic>
              </a:graphicData>
            </a:graphic>
          </wp:inline>
        </w:drawing>
      </w:r>
      <w:r>
        <w:rPr>
          <w:rFonts w:ascii="仿宋" w:eastAsia="仿宋" w:hAnsi="Times New Roman"/>
          <w:noProof/>
          <w:color w:val="000000"/>
          <w:sz w:val="32"/>
          <w:szCs w:val="24"/>
        </w:rPr>
        <w:lastRenderedPageBreak/>
        <w:drawing>
          <wp:inline distT="0" distB="0" distL="0" distR="0">
            <wp:extent cx="5509260" cy="5402580"/>
            <wp:effectExtent l="0" t="0" r="0" b="7620"/>
            <wp:docPr id="7" name="鍥剧墖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鍥剧墖 3" descr="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9260" cy="5402580"/>
                    </a:xfrm>
                    <a:prstGeom prst="rect">
                      <a:avLst/>
                    </a:prstGeom>
                    <a:noFill/>
                    <a:ln>
                      <a:noFill/>
                    </a:ln>
                  </pic:spPr>
                </pic:pic>
              </a:graphicData>
            </a:graphic>
          </wp:inline>
        </w:drawing>
      </w:r>
      <w:r>
        <w:rPr>
          <w:rFonts w:ascii="仿宋" w:eastAsia="仿宋" w:hAnsi="Times New Roman"/>
          <w:noProof/>
          <w:color w:val="000000"/>
          <w:sz w:val="32"/>
          <w:szCs w:val="24"/>
        </w:rPr>
        <w:lastRenderedPageBreak/>
        <w:drawing>
          <wp:inline distT="0" distB="0" distL="0" distR="0">
            <wp:extent cx="5478780" cy="4526280"/>
            <wp:effectExtent l="0" t="0" r="7620" b="7620"/>
            <wp:docPr id="8" name="鍥剧墖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鍥剧墖 2" descr="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780" cy="4526280"/>
                    </a:xfrm>
                    <a:prstGeom prst="rect">
                      <a:avLst/>
                    </a:prstGeom>
                    <a:noFill/>
                    <a:ln>
                      <a:noFill/>
                    </a:ln>
                  </pic:spPr>
                </pic:pic>
              </a:graphicData>
            </a:graphic>
          </wp:inline>
        </w:drawing>
      </w:r>
      <w:r>
        <w:rPr>
          <w:rFonts w:ascii="仿宋" w:eastAsia="仿宋" w:hAnsi="Times New Roman"/>
          <w:noProof/>
          <w:color w:val="000000"/>
          <w:sz w:val="32"/>
          <w:szCs w:val="24"/>
        </w:rPr>
        <w:drawing>
          <wp:inline distT="0" distB="0" distL="0" distR="0">
            <wp:extent cx="5448300" cy="2278380"/>
            <wp:effectExtent l="0" t="0" r="0" b="7620"/>
            <wp:docPr id="9" name="鍥剧墖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鍥剧墖 1" descr="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2278380"/>
                    </a:xfrm>
                    <a:prstGeom prst="rect">
                      <a:avLst/>
                    </a:prstGeom>
                    <a:noFill/>
                    <a:ln>
                      <a:noFill/>
                    </a:ln>
                  </pic:spPr>
                </pic:pic>
              </a:graphicData>
            </a:graphic>
          </wp:inline>
        </w:drawing>
      </w:r>
    </w:p>
    <w:p w:rsidR="00D95D3B" w:rsidRDefault="00F17021">
      <w:pPr>
        <w:autoSpaceDE w:val="0"/>
        <w:autoSpaceDN w:val="0"/>
        <w:adjustRightInd w:val="0"/>
        <w:ind w:firstLine="640"/>
        <w:rPr>
          <w:rFonts w:ascii="仿宋" w:eastAsia="仿宋" w:hAnsi="Times New Roman"/>
          <w:color w:val="000000"/>
          <w:sz w:val="32"/>
          <w:szCs w:val="24"/>
          <w:highlight w:val="white"/>
        </w:rPr>
      </w:pPr>
      <w:r>
        <w:rPr>
          <w:rFonts w:ascii="仿宋" w:eastAsia="仿宋" w:hAnsi="Times New Roman"/>
          <w:noProof/>
          <w:color w:val="000000"/>
          <w:sz w:val="32"/>
          <w:szCs w:val="24"/>
        </w:rPr>
        <w:lastRenderedPageBreak/>
        <w:drawing>
          <wp:inline distT="0" distB="0" distL="0" distR="0">
            <wp:extent cx="5509260" cy="2796540"/>
            <wp:effectExtent l="0" t="0" r="0" b="3810"/>
            <wp:docPr id="10" name="鍥剧墖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鍥剧墖 11" descr="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9260" cy="2796540"/>
                    </a:xfrm>
                    <a:prstGeom prst="rect">
                      <a:avLst/>
                    </a:prstGeom>
                    <a:noFill/>
                    <a:ln>
                      <a:noFill/>
                    </a:ln>
                  </pic:spPr>
                </pic:pic>
              </a:graphicData>
            </a:graphic>
          </wp:inline>
        </w:drawing>
      </w:r>
      <w:r>
        <w:rPr>
          <w:rFonts w:ascii="仿宋" w:eastAsia="仿宋" w:hAnsi="Times New Roman"/>
          <w:noProof/>
          <w:color w:val="000000"/>
          <w:sz w:val="32"/>
          <w:szCs w:val="24"/>
        </w:rPr>
        <w:drawing>
          <wp:inline distT="0" distB="0" distL="0" distR="0">
            <wp:extent cx="5463540" cy="2499360"/>
            <wp:effectExtent l="0" t="0" r="3810" b="0"/>
            <wp:docPr id="11" name="鍥剧墖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鍥剧墖 10" descr="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3540" cy="2499360"/>
                    </a:xfrm>
                    <a:prstGeom prst="rect">
                      <a:avLst/>
                    </a:prstGeom>
                    <a:noFill/>
                    <a:ln>
                      <a:noFill/>
                    </a:ln>
                  </pic:spPr>
                </pic:pic>
              </a:graphicData>
            </a:graphic>
          </wp:inline>
        </w:drawing>
      </w:r>
    </w:p>
    <w:p w:rsidR="00D95D3B" w:rsidRDefault="00D95D3B">
      <w:pPr>
        <w:keepNext/>
        <w:keepLines/>
        <w:autoSpaceDE w:val="0"/>
        <w:autoSpaceDN w:val="0"/>
        <w:adjustRightInd w:val="0"/>
        <w:spacing w:line="600" w:lineRule="exact"/>
        <w:ind w:firstLine="641"/>
        <w:jc w:val="left"/>
        <w:rPr>
          <w:rFonts w:ascii="黑体" w:eastAsia="黑体" w:hAnsi="Times New Roman"/>
          <w:b/>
          <w:color w:val="000000"/>
          <w:sz w:val="32"/>
          <w:szCs w:val="24"/>
          <w:highlight w:val="white"/>
        </w:rPr>
      </w:pPr>
      <w:r>
        <w:rPr>
          <w:rFonts w:ascii="黑体" w:eastAsia="黑体" w:hAnsi="Times New Roman" w:hint="eastAsia"/>
          <w:b/>
          <w:color w:val="000000"/>
          <w:sz w:val="32"/>
          <w:szCs w:val="24"/>
          <w:highlight w:val="white"/>
          <w:lang w:val="zh-CN"/>
        </w:rPr>
        <w:t>三、</w:t>
      </w:r>
      <w:r>
        <w:rPr>
          <w:rFonts w:ascii="黑体" w:eastAsia="黑体" w:hAnsi="Times New Roman"/>
          <w:b/>
          <w:color w:val="000000"/>
          <w:sz w:val="32"/>
          <w:szCs w:val="24"/>
          <w:highlight w:val="white"/>
        </w:rPr>
        <w:t>2022</w:t>
      </w:r>
      <w:r>
        <w:rPr>
          <w:rFonts w:ascii="黑体" w:eastAsia="黑体" w:hAnsi="Times New Roman" w:hint="eastAsia"/>
          <w:b/>
          <w:color w:val="000000"/>
          <w:sz w:val="32"/>
          <w:szCs w:val="24"/>
          <w:highlight w:val="white"/>
        </w:rPr>
        <w:t>年度单位决算情况说明</w:t>
      </w:r>
    </w:p>
    <w:p w:rsidR="00D95D3B" w:rsidRDefault="00D95D3B">
      <w:pPr>
        <w:autoSpaceDE w:val="0"/>
        <w:autoSpaceDN w:val="0"/>
        <w:adjustRightInd w:val="0"/>
        <w:spacing w:line="600" w:lineRule="exact"/>
        <w:ind w:firstLine="641"/>
        <w:jc w:val="left"/>
        <w:rPr>
          <w:rFonts w:ascii="楷体" w:eastAsia="楷体" w:hAnsi="Times New Roman"/>
          <w:b/>
          <w:color w:val="000000"/>
          <w:sz w:val="32"/>
          <w:szCs w:val="24"/>
          <w:highlight w:val="white"/>
        </w:rPr>
      </w:pPr>
      <w:r>
        <w:rPr>
          <w:rFonts w:ascii="楷体" w:eastAsia="楷体" w:hAnsi="Times New Roman" w:hint="eastAsia"/>
          <w:b/>
          <w:color w:val="000000"/>
          <w:sz w:val="32"/>
          <w:szCs w:val="24"/>
          <w:highlight w:val="white"/>
        </w:rPr>
        <w:t>（一）收入支出决算总体情况说明</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年度收入总计</w:t>
      </w:r>
      <w:r>
        <w:rPr>
          <w:rFonts w:ascii="仿宋" w:eastAsia="仿宋" w:hAnsi="Times New Roman"/>
          <w:color w:val="000000"/>
          <w:sz w:val="32"/>
          <w:szCs w:val="24"/>
          <w:highlight w:val="white"/>
        </w:rPr>
        <w:t>21,722.9</w:t>
      </w:r>
      <w:r>
        <w:rPr>
          <w:rFonts w:ascii="仿宋" w:eastAsia="仿宋" w:hAnsi="Times New Roman" w:hint="eastAsia"/>
          <w:color w:val="000000"/>
          <w:sz w:val="32"/>
          <w:szCs w:val="24"/>
          <w:highlight w:val="white"/>
        </w:rPr>
        <w:t>万元，支出总计</w:t>
      </w:r>
      <w:r>
        <w:rPr>
          <w:rFonts w:ascii="仿宋" w:eastAsia="仿宋" w:hAnsi="Times New Roman"/>
          <w:color w:val="000000"/>
          <w:sz w:val="32"/>
          <w:szCs w:val="24"/>
          <w:highlight w:val="white"/>
        </w:rPr>
        <w:t>21,722.9</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与</w:t>
      </w:r>
      <w:r>
        <w:rPr>
          <w:rFonts w:ascii="仿宋" w:eastAsia="仿宋" w:hAnsi="Times New Roman"/>
          <w:color w:val="000000"/>
          <w:sz w:val="32"/>
          <w:szCs w:val="24"/>
          <w:highlight w:val="white"/>
        </w:rPr>
        <w:t>2021</w:t>
      </w:r>
      <w:r>
        <w:rPr>
          <w:rFonts w:ascii="仿宋" w:eastAsia="仿宋" w:hAnsi="Times New Roman" w:hint="eastAsia"/>
          <w:color w:val="000000"/>
          <w:sz w:val="32"/>
          <w:szCs w:val="24"/>
          <w:highlight w:val="white"/>
        </w:rPr>
        <w:t>年度相比，各减少</w:t>
      </w:r>
      <w:r>
        <w:rPr>
          <w:rFonts w:ascii="仿宋" w:eastAsia="仿宋" w:hAnsi="Times New Roman"/>
          <w:color w:val="000000"/>
          <w:sz w:val="32"/>
          <w:szCs w:val="24"/>
          <w:highlight w:val="white"/>
        </w:rPr>
        <w:t>754.06</w:t>
      </w:r>
      <w:r>
        <w:rPr>
          <w:rFonts w:ascii="仿宋" w:eastAsia="仿宋" w:hAnsi="Times New Roman" w:hint="eastAsia"/>
          <w:color w:val="000000"/>
          <w:sz w:val="32"/>
          <w:szCs w:val="24"/>
          <w:highlight w:val="white"/>
        </w:rPr>
        <w:t>万元，下降</w:t>
      </w:r>
      <w:r>
        <w:rPr>
          <w:rFonts w:ascii="仿宋" w:eastAsia="仿宋" w:hAnsi="Times New Roman"/>
          <w:color w:val="000000"/>
          <w:sz w:val="32"/>
          <w:szCs w:val="24"/>
          <w:highlight w:val="white"/>
        </w:rPr>
        <w:t>3.35%</w:t>
      </w:r>
      <w:r>
        <w:rPr>
          <w:rFonts w:ascii="仿宋" w:eastAsia="仿宋" w:hAnsi="Times New Roman" w:hint="eastAsia"/>
          <w:color w:val="000000"/>
          <w:sz w:val="32"/>
          <w:szCs w:val="24"/>
          <w:highlight w:val="white"/>
        </w:rPr>
        <w:t>。主要原因是：项目减少、人员调整等。</w:t>
      </w:r>
    </w:p>
    <w:p w:rsidR="00D95D3B" w:rsidRDefault="00D95D3B">
      <w:pPr>
        <w:autoSpaceDE w:val="0"/>
        <w:autoSpaceDN w:val="0"/>
        <w:adjustRightInd w:val="0"/>
        <w:spacing w:line="600" w:lineRule="exact"/>
        <w:ind w:firstLine="641"/>
        <w:jc w:val="left"/>
        <w:rPr>
          <w:rFonts w:ascii="楷体" w:eastAsia="楷体" w:hAnsi="Times New Roman"/>
          <w:b/>
          <w:color w:val="000000"/>
          <w:sz w:val="32"/>
          <w:szCs w:val="24"/>
          <w:highlight w:val="white"/>
        </w:rPr>
      </w:pPr>
      <w:r>
        <w:rPr>
          <w:rFonts w:ascii="楷体" w:eastAsia="楷体" w:hAnsi="Times New Roman" w:hint="eastAsia"/>
          <w:b/>
          <w:color w:val="000000"/>
          <w:sz w:val="32"/>
          <w:szCs w:val="24"/>
          <w:highlight w:val="white"/>
        </w:rPr>
        <w:t>（二）收入决算情况说明</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本年收入合计</w:t>
      </w:r>
      <w:r>
        <w:rPr>
          <w:rFonts w:ascii="仿宋" w:eastAsia="仿宋" w:hAnsi="Times New Roman"/>
          <w:color w:val="000000"/>
          <w:sz w:val="32"/>
          <w:szCs w:val="24"/>
          <w:highlight w:val="white"/>
        </w:rPr>
        <w:t>21,610.87</w:t>
      </w:r>
      <w:r>
        <w:rPr>
          <w:rFonts w:ascii="仿宋" w:eastAsia="仿宋" w:hAnsi="Times New Roman" w:hint="eastAsia"/>
          <w:color w:val="000000"/>
          <w:sz w:val="32"/>
          <w:szCs w:val="24"/>
          <w:highlight w:val="white"/>
        </w:rPr>
        <w:t>万元；包括财政拨款收入</w:t>
      </w:r>
      <w:r>
        <w:rPr>
          <w:rFonts w:ascii="仿宋" w:eastAsia="仿宋" w:hAnsi="Times New Roman"/>
          <w:color w:val="000000"/>
          <w:sz w:val="32"/>
          <w:szCs w:val="24"/>
          <w:highlight w:val="white"/>
        </w:rPr>
        <w:lastRenderedPageBreak/>
        <w:t>21,608.27</w:t>
      </w:r>
      <w:r>
        <w:rPr>
          <w:rFonts w:ascii="仿宋" w:eastAsia="仿宋" w:hAnsi="Times New Roman" w:hint="eastAsia"/>
          <w:color w:val="000000"/>
          <w:sz w:val="32"/>
          <w:szCs w:val="24"/>
          <w:highlight w:val="white"/>
        </w:rPr>
        <w:t>万元（其中，一般公共预算</w:t>
      </w:r>
      <w:r>
        <w:rPr>
          <w:rFonts w:ascii="仿宋" w:eastAsia="仿宋" w:hAnsi="Times New Roman"/>
          <w:color w:val="000000"/>
          <w:sz w:val="32"/>
          <w:szCs w:val="24"/>
          <w:highlight w:val="white"/>
        </w:rPr>
        <w:t>21,608.27</w:t>
      </w:r>
      <w:r>
        <w:rPr>
          <w:rFonts w:ascii="仿宋" w:eastAsia="仿宋" w:hAnsi="Times New Roman" w:hint="eastAsia"/>
          <w:color w:val="000000"/>
          <w:sz w:val="32"/>
          <w:szCs w:val="24"/>
          <w:highlight w:val="white"/>
        </w:rPr>
        <w:t>万元，政府性基金预算</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国有资本经营预算</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万元），占收入合计</w:t>
      </w:r>
      <w:r>
        <w:rPr>
          <w:rFonts w:ascii="仿宋" w:eastAsia="仿宋" w:hAnsi="Times New Roman"/>
          <w:color w:val="000000"/>
          <w:sz w:val="32"/>
          <w:szCs w:val="24"/>
          <w:highlight w:val="white"/>
        </w:rPr>
        <w:t>99.99%</w:t>
      </w:r>
      <w:r>
        <w:rPr>
          <w:rFonts w:ascii="仿宋" w:eastAsia="仿宋" w:hAnsi="Times New Roman" w:hint="eastAsia"/>
          <w:color w:val="000000"/>
          <w:sz w:val="32"/>
          <w:szCs w:val="24"/>
          <w:highlight w:val="white"/>
        </w:rPr>
        <w:t>；上级补助收入</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万元，占收入合计</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；事业收入</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万元，占收入合计</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；经营收入</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万元，占收入合计</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；附属单位上缴收入</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万元，占收入合计</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；其他收入</w:t>
      </w:r>
      <w:r>
        <w:rPr>
          <w:rFonts w:ascii="仿宋" w:eastAsia="仿宋" w:hAnsi="Times New Roman"/>
          <w:color w:val="000000"/>
          <w:sz w:val="32"/>
          <w:szCs w:val="24"/>
          <w:highlight w:val="white"/>
        </w:rPr>
        <w:t>2.6</w:t>
      </w:r>
      <w:r>
        <w:rPr>
          <w:rFonts w:ascii="仿宋" w:eastAsia="仿宋" w:hAnsi="Times New Roman" w:hint="eastAsia"/>
          <w:color w:val="000000"/>
          <w:sz w:val="32"/>
          <w:szCs w:val="24"/>
          <w:highlight w:val="white"/>
        </w:rPr>
        <w:t>万元，占收入合计</w:t>
      </w:r>
      <w:r>
        <w:rPr>
          <w:rFonts w:ascii="仿宋" w:eastAsia="仿宋" w:hAnsi="Times New Roman"/>
          <w:color w:val="000000"/>
          <w:sz w:val="32"/>
          <w:szCs w:val="24"/>
          <w:highlight w:val="white"/>
        </w:rPr>
        <w:t>0.01%</w:t>
      </w:r>
      <w:r>
        <w:rPr>
          <w:rFonts w:ascii="仿宋" w:eastAsia="仿宋" w:hAnsi="Times New Roman" w:hint="eastAsia"/>
          <w:color w:val="000000"/>
          <w:sz w:val="32"/>
          <w:szCs w:val="24"/>
          <w:highlight w:val="white"/>
        </w:rPr>
        <w:t>。</w:t>
      </w:r>
    </w:p>
    <w:p w:rsidR="00D95D3B" w:rsidRDefault="00D95D3B">
      <w:pPr>
        <w:autoSpaceDE w:val="0"/>
        <w:autoSpaceDN w:val="0"/>
        <w:adjustRightInd w:val="0"/>
        <w:spacing w:line="600" w:lineRule="exact"/>
        <w:ind w:firstLine="641"/>
        <w:jc w:val="left"/>
        <w:rPr>
          <w:rFonts w:ascii="楷体" w:eastAsia="楷体" w:hAnsi="Times New Roman"/>
          <w:b/>
          <w:color w:val="000000"/>
          <w:sz w:val="32"/>
          <w:szCs w:val="24"/>
          <w:highlight w:val="white"/>
        </w:rPr>
      </w:pPr>
      <w:r>
        <w:rPr>
          <w:rFonts w:ascii="楷体" w:eastAsia="楷体" w:hAnsi="Times New Roman" w:hint="eastAsia"/>
          <w:b/>
          <w:color w:val="000000"/>
          <w:sz w:val="32"/>
          <w:szCs w:val="24"/>
          <w:highlight w:val="white"/>
        </w:rPr>
        <w:t>（三）支出决算情况说明</w:t>
      </w:r>
    </w:p>
    <w:p w:rsidR="00D95D3B" w:rsidRDefault="00D95D3B">
      <w:pPr>
        <w:autoSpaceDE w:val="0"/>
        <w:autoSpaceDN w:val="0"/>
        <w:adjustRightInd w:val="0"/>
        <w:spacing w:line="600" w:lineRule="exact"/>
        <w:ind w:firstLine="594"/>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本年支出合计</w:t>
      </w:r>
      <w:r>
        <w:rPr>
          <w:rFonts w:ascii="仿宋" w:eastAsia="仿宋" w:hAnsi="Times New Roman"/>
          <w:color w:val="000000"/>
          <w:sz w:val="32"/>
          <w:szCs w:val="24"/>
          <w:highlight w:val="white"/>
        </w:rPr>
        <w:t>21,722.9</w:t>
      </w:r>
      <w:r>
        <w:rPr>
          <w:rFonts w:ascii="仿宋" w:eastAsia="仿宋" w:hAnsi="Times New Roman" w:hint="eastAsia"/>
          <w:color w:val="000000"/>
          <w:sz w:val="32"/>
          <w:szCs w:val="24"/>
          <w:highlight w:val="white"/>
        </w:rPr>
        <w:t>万元，其中基本支出</w:t>
      </w:r>
      <w:r>
        <w:rPr>
          <w:rFonts w:ascii="仿宋" w:eastAsia="仿宋" w:hAnsi="Times New Roman"/>
          <w:color w:val="000000"/>
          <w:sz w:val="32"/>
          <w:szCs w:val="24"/>
          <w:highlight w:val="white"/>
        </w:rPr>
        <w:t>17,677.06</w:t>
      </w:r>
      <w:r>
        <w:rPr>
          <w:rFonts w:ascii="仿宋" w:eastAsia="仿宋" w:hAnsi="Times New Roman" w:hint="eastAsia"/>
          <w:color w:val="000000"/>
          <w:sz w:val="32"/>
          <w:szCs w:val="24"/>
          <w:highlight w:val="white"/>
        </w:rPr>
        <w:t>万元，占</w:t>
      </w:r>
      <w:r>
        <w:rPr>
          <w:rFonts w:ascii="仿宋" w:eastAsia="仿宋" w:hAnsi="Times New Roman"/>
          <w:color w:val="000000"/>
          <w:sz w:val="32"/>
          <w:szCs w:val="24"/>
          <w:highlight w:val="white"/>
        </w:rPr>
        <w:t>81.38%</w:t>
      </w:r>
      <w:r>
        <w:rPr>
          <w:rFonts w:ascii="仿宋" w:eastAsia="仿宋" w:hAnsi="Times New Roman" w:hint="eastAsia"/>
          <w:color w:val="000000"/>
          <w:sz w:val="32"/>
          <w:szCs w:val="24"/>
          <w:highlight w:val="white"/>
        </w:rPr>
        <w:t>；项目支出</w:t>
      </w:r>
      <w:r>
        <w:rPr>
          <w:rFonts w:ascii="仿宋" w:eastAsia="仿宋" w:hAnsi="Times New Roman"/>
          <w:color w:val="000000"/>
          <w:sz w:val="32"/>
          <w:szCs w:val="24"/>
          <w:highlight w:val="white"/>
        </w:rPr>
        <w:t>4,045.84</w:t>
      </w:r>
      <w:r>
        <w:rPr>
          <w:rFonts w:ascii="仿宋" w:eastAsia="仿宋" w:hAnsi="Times New Roman" w:hint="eastAsia"/>
          <w:color w:val="000000"/>
          <w:sz w:val="32"/>
          <w:szCs w:val="24"/>
          <w:highlight w:val="white"/>
        </w:rPr>
        <w:t>万元，占</w:t>
      </w:r>
      <w:r>
        <w:rPr>
          <w:rFonts w:ascii="仿宋" w:eastAsia="仿宋" w:hAnsi="Times New Roman"/>
          <w:color w:val="000000"/>
          <w:sz w:val="32"/>
          <w:szCs w:val="24"/>
          <w:highlight w:val="white"/>
        </w:rPr>
        <w:t>18.62%</w:t>
      </w:r>
      <w:r>
        <w:rPr>
          <w:rFonts w:ascii="仿宋" w:eastAsia="仿宋" w:hAnsi="Times New Roman" w:hint="eastAsia"/>
          <w:color w:val="000000"/>
          <w:sz w:val="32"/>
          <w:szCs w:val="24"/>
          <w:highlight w:val="white"/>
        </w:rPr>
        <w:t>；上缴上级支出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；经营支出</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万元，占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；对附属单位补助支出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w:t>
      </w:r>
    </w:p>
    <w:p w:rsidR="00D95D3B" w:rsidRDefault="00D95D3B">
      <w:pPr>
        <w:autoSpaceDE w:val="0"/>
        <w:autoSpaceDN w:val="0"/>
        <w:adjustRightInd w:val="0"/>
        <w:spacing w:line="600" w:lineRule="exact"/>
        <w:ind w:firstLine="641"/>
        <w:jc w:val="left"/>
        <w:rPr>
          <w:rFonts w:ascii="楷体" w:eastAsia="楷体" w:hAnsi="Times New Roman"/>
          <w:b/>
          <w:color w:val="000000"/>
          <w:sz w:val="32"/>
          <w:szCs w:val="24"/>
          <w:highlight w:val="white"/>
        </w:rPr>
      </w:pPr>
      <w:r>
        <w:rPr>
          <w:rFonts w:ascii="楷体" w:eastAsia="楷体" w:hAnsi="Times New Roman" w:hint="eastAsia"/>
          <w:b/>
          <w:color w:val="000000"/>
          <w:sz w:val="32"/>
          <w:szCs w:val="24"/>
          <w:highlight w:val="white"/>
        </w:rPr>
        <w:t>（四）财政拨款收入支出决算总体情况说明</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年度财政拨款收入总计</w:t>
      </w:r>
      <w:r>
        <w:rPr>
          <w:rFonts w:ascii="仿宋" w:eastAsia="仿宋" w:hAnsi="Times New Roman"/>
          <w:color w:val="000000"/>
          <w:sz w:val="32"/>
          <w:szCs w:val="24"/>
          <w:highlight w:val="white"/>
        </w:rPr>
        <w:t>21,720.3</w:t>
      </w:r>
      <w:r>
        <w:rPr>
          <w:rFonts w:ascii="仿宋" w:eastAsia="仿宋" w:hAnsi="Times New Roman" w:hint="eastAsia"/>
          <w:color w:val="000000"/>
          <w:sz w:val="32"/>
          <w:szCs w:val="24"/>
          <w:highlight w:val="white"/>
        </w:rPr>
        <w:t>万元，支出总计</w:t>
      </w:r>
      <w:r>
        <w:rPr>
          <w:rFonts w:ascii="仿宋" w:eastAsia="仿宋" w:hAnsi="Times New Roman"/>
          <w:color w:val="000000"/>
          <w:sz w:val="32"/>
          <w:szCs w:val="24"/>
          <w:highlight w:val="white"/>
        </w:rPr>
        <w:t>21,720.3</w:t>
      </w:r>
      <w:r>
        <w:rPr>
          <w:rFonts w:ascii="仿宋" w:eastAsia="仿宋" w:hAnsi="Times New Roman" w:hint="eastAsia"/>
          <w:color w:val="000000"/>
          <w:sz w:val="32"/>
          <w:szCs w:val="24"/>
          <w:highlight w:val="white"/>
        </w:rPr>
        <w:t>万元，与</w:t>
      </w:r>
      <w:r>
        <w:rPr>
          <w:rFonts w:ascii="仿宋" w:eastAsia="仿宋" w:hAnsi="Times New Roman"/>
          <w:color w:val="000000"/>
          <w:sz w:val="32"/>
          <w:szCs w:val="24"/>
          <w:highlight w:val="white"/>
        </w:rPr>
        <w:t>2021</w:t>
      </w:r>
      <w:r>
        <w:rPr>
          <w:rFonts w:ascii="仿宋" w:eastAsia="仿宋" w:hAnsi="Times New Roman" w:hint="eastAsia"/>
          <w:color w:val="000000"/>
          <w:sz w:val="32"/>
          <w:szCs w:val="24"/>
          <w:highlight w:val="white"/>
        </w:rPr>
        <w:t>年相比，各减少</w:t>
      </w:r>
      <w:r>
        <w:rPr>
          <w:rFonts w:ascii="仿宋" w:eastAsia="仿宋" w:hAnsi="Times New Roman"/>
          <w:color w:val="000000"/>
          <w:sz w:val="32"/>
          <w:szCs w:val="24"/>
          <w:highlight w:val="white"/>
        </w:rPr>
        <w:t>746.76</w:t>
      </w:r>
      <w:r>
        <w:rPr>
          <w:rFonts w:ascii="仿宋" w:eastAsia="仿宋" w:hAnsi="Times New Roman" w:hint="eastAsia"/>
          <w:color w:val="000000"/>
          <w:sz w:val="32"/>
          <w:szCs w:val="24"/>
          <w:highlight w:val="white"/>
        </w:rPr>
        <w:t>万元，下降</w:t>
      </w:r>
      <w:r>
        <w:rPr>
          <w:rFonts w:ascii="仿宋" w:eastAsia="仿宋" w:hAnsi="Times New Roman"/>
          <w:color w:val="000000"/>
          <w:sz w:val="32"/>
          <w:szCs w:val="24"/>
          <w:highlight w:val="white"/>
        </w:rPr>
        <w:t>3.32%</w:t>
      </w:r>
      <w:r>
        <w:rPr>
          <w:rFonts w:ascii="仿宋" w:eastAsia="仿宋" w:hAnsi="Times New Roman" w:hint="eastAsia"/>
          <w:color w:val="000000"/>
          <w:sz w:val="32"/>
          <w:szCs w:val="24"/>
          <w:highlight w:val="white"/>
        </w:rPr>
        <w:t>。主要原因是项目减少、人员调整；财政拨款支出年初预算数</w:t>
      </w:r>
      <w:r>
        <w:rPr>
          <w:rFonts w:ascii="仿宋" w:eastAsia="仿宋" w:hAnsi="Times New Roman"/>
          <w:color w:val="000000"/>
          <w:sz w:val="32"/>
          <w:szCs w:val="24"/>
          <w:highlight w:val="white"/>
        </w:rPr>
        <w:t>23265.6141</w:t>
      </w:r>
      <w:r>
        <w:rPr>
          <w:rFonts w:ascii="仿宋" w:eastAsia="仿宋" w:hAnsi="Times New Roman" w:hint="eastAsia"/>
          <w:color w:val="000000"/>
          <w:sz w:val="32"/>
          <w:szCs w:val="24"/>
          <w:highlight w:val="white"/>
        </w:rPr>
        <w:t>万元，完成年初预算的</w:t>
      </w:r>
      <w:r>
        <w:rPr>
          <w:rFonts w:ascii="仿宋" w:eastAsia="仿宋" w:hAnsi="Times New Roman"/>
          <w:color w:val="000000"/>
          <w:sz w:val="32"/>
          <w:szCs w:val="24"/>
          <w:highlight w:val="white"/>
        </w:rPr>
        <w:t>93.96%</w:t>
      </w:r>
      <w:r>
        <w:rPr>
          <w:rFonts w:ascii="仿宋" w:eastAsia="仿宋" w:hAnsi="Times New Roman" w:hint="eastAsia"/>
          <w:color w:val="000000"/>
          <w:sz w:val="32"/>
          <w:szCs w:val="24"/>
          <w:highlight w:val="white"/>
        </w:rPr>
        <w:t>，主要原因是项目减少、人员调整。</w:t>
      </w:r>
    </w:p>
    <w:p w:rsidR="00D95D3B" w:rsidRDefault="00D95D3B">
      <w:pPr>
        <w:autoSpaceDE w:val="0"/>
        <w:autoSpaceDN w:val="0"/>
        <w:adjustRightInd w:val="0"/>
        <w:spacing w:line="600" w:lineRule="exact"/>
        <w:ind w:firstLine="641"/>
        <w:jc w:val="left"/>
        <w:rPr>
          <w:rFonts w:ascii="楷体" w:eastAsia="楷体" w:hAnsi="Times New Roman"/>
          <w:b/>
          <w:color w:val="000000"/>
          <w:sz w:val="32"/>
          <w:szCs w:val="24"/>
          <w:highlight w:val="white"/>
        </w:rPr>
      </w:pPr>
      <w:r>
        <w:rPr>
          <w:rFonts w:ascii="楷体" w:eastAsia="楷体" w:hAnsi="Times New Roman" w:hint="eastAsia"/>
          <w:b/>
          <w:color w:val="000000"/>
          <w:sz w:val="32"/>
          <w:szCs w:val="24"/>
          <w:highlight w:val="white"/>
        </w:rPr>
        <w:t>（五）一般公共预算财政拨款支出决算情况说明</w:t>
      </w:r>
    </w:p>
    <w:p w:rsidR="00D95D3B" w:rsidRDefault="00D95D3B">
      <w:pPr>
        <w:autoSpaceDE w:val="0"/>
        <w:autoSpaceDN w:val="0"/>
        <w:adjustRightInd w:val="0"/>
        <w:spacing w:line="600" w:lineRule="exact"/>
        <w:ind w:firstLine="606"/>
        <w:rPr>
          <w:rFonts w:ascii="仿宋" w:eastAsia="仿宋" w:hAnsi="Times New Roman"/>
          <w:color w:val="000000"/>
          <w:sz w:val="32"/>
          <w:szCs w:val="24"/>
          <w:highlight w:val="white"/>
        </w:rPr>
      </w:pPr>
      <w:r>
        <w:rPr>
          <w:rFonts w:ascii="仿宋" w:eastAsia="仿宋" w:hAnsi="Times New Roman"/>
          <w:b/>
          <w:color w:val="000000"/>
          <w:sz w:val="32"/>
          <w:szCs w:val="24"/>
          <w:highlight w:val="white"/>
        </w:rPr>
        <w:t>1.</w:t>
      </w:r>
      <w:r>
        <w:rPr>
          <w:rFonts w:ascii="仿宋" w:eastAsia="仿宋" w:hAnsi="Times New Roman" w:hint="eastAsia"/>
          <w:b/>
          <w:color w:val="000000"/>
          <w:sz w:val="32"/>
          <w:szCs w:val="24"/>
          <w:highlight w:val="white"/>
        </w:rPr>
        <w:t>一般公共预算财政拨款支出决算总体情况。</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年度一般公共预算财政拨款支出</w:t>
      </w:r>
      <w:r>
        <w:rPr>
          <w:rFonts w:ascii="仿宋" w:eastAsia="仿宋" w:hAnsi="Times New Roman"/>
          <w:color w:val="000000"/>
          <w:sz w:val="32"/>
          <w:szCs w:val="24"/>
          <w:highlight w:val="white"/>
        </w:rPr>
        <w:t>21,720.3</w:t>
      </w:r>
      <w:r>
        <w:rPr>
          <w:rFonts w:ascii="仿宋" w:eastAsia="仿宋" w:hAnsi="Times New Roman" w:hint="eastAsia"/>
          <w:color w:val="000000"/>
          <w:sz w:val="32"/>
          <w:szCs w:val="24"/>
          <w:highlight w:val="white"/>
        </w:rPr>
        <w:t>万元，占本年支出合计的</w:t>
      </w:r>
      <w:r>
        <w:rPr>
          <w:rFonts w:ascii="仿宋" w:eastAsia="仿宋" w:hAnsi="Times New Roman"/>
          <w:color w:val="000000"/>
          <w:sz w:val="32"/>
          <w:szCs w:val="24"/>
          <w:highlight w:val="white"/>
        </w:rPr>
        <w:t>99.99%</w:t>
      </w:r>
      <w:r>
        <w:rPr>
          <w:rFonts w:ascii="仿宋" w:eastAsia="仿宋" w:hAnsi="Times New Roman" w:hint="eastAsia"/>
          <w:color w:val="000000"/>
          <w:sz w:val="32"/>
          <w:szCs w:val="24"/>
          <w:highlight w:val="white"/>
        </w:rPr>
        <w:t>。与</w:t>
      </w:r>
      <w:r>
        <w:rPr>
          <w:rFonts w:ascii="仿宋" w:eastAsia="仿宋" w:hAnsi="Times New Roman"/>
          <w:color w:val="000000"/>
          <w:sz w:val="32"/>
          <w:szCs w:val="24"/>
          <w:highlight w:val="white"/>
        </w:rPr>
        <w:t>2021</w:t>
      </w:r>
      <w:r>
        <w:rPr>
          <w:rFonts w:ascii="仿宋" w:eastAsia="仿宋" w:hAnsi="Times New Roman" w:hint="eastAsia"/>
          <w:color w:val="000000"/>
          <w:sz w:val="32"/>
          <w:szCs w:val="24"/>
          <w:highlight w:val="white"/>
        </w:rPr>
        <w:t>年相比，一般公共预算财政拨款支出减少</w:t>
      </w:r>
      <w:r>
        <w:rPr>
          <w:rFonts w:ascii="仿宋" w:eastAsia="仿宋" w:hAnsi="Times New Roman"/>
          <w:color w:val="000000"/>
          <w:sz w:val="32"/>
          <w:szCs w:val="24"/>
          <w:highlight w:val="white"/>
        </w:rPr>
        <w:t>746.76</w:t>
      </w:r>
      <w:r>
        <w:rPr>
          <w:rFonts w:ascii="仿宋" w:eastAsia="仿宋" w:hAnsi="Times New Roman" w:hint="eastAsia"/>
          <w:color w:val="000000"/>
          <w:sz w:val="32"/>
          <w:szCs w:val="24"/>
          <w:highlight w:val="white"/>
        </w:rPr>
        <w:t>万元，下降</w:t>
      </w:r>
      <w:r>
        <w:rPr>
          <w:rFonts w:ascii="仿宋" w:eastAsia="仿宋" w:hAnsi="Times New Roman"/>
          <w:color w:val="000000"/>
          <w:sz w:val="32"/>
          <w:szCs w:val="24"/>
          <w:highlight w:val="white"/>
        </w:rPr>
        <w:t>3.32%</w:t>
      </w:r>
      <w:r>
        <w:rPr>
          <w:rFonts w:ascii="仿宋" w:eastAsia="仿宋" w:hAnsi="Times New Roman" w:hint="eastAsia"/>
          <w:color w:val="000000"/>
          <w:sz w:val="32"/>
          <w:szCs w:val="24"/>
          <w:highlight w:val="white"/>
        </w:rPr>
        <w:t>。主要原因是：项目减少、人</w:t>
      </w:r>
      <w:r>
        <w:rPr>
          <w:rFonts w:ascii="仿宋" w:eastAsia="仿宋" w:hAnsi="Times New Roman" w:hint="eastAsia"/>
          <w:color w:val="000000"/>
          <w:sz w:val="32"/>
          <w:szCs w:val="24"/>
          <w:highlight w:val="white"/>
        </w:rPr>
        <w:lastRenderedPageBreak/>
        <w:t>员调整。</w:t>
      </w:r>
    </w:p>
    <w:p w:rsidR="00D95D3B" w:rsidRDefault="00D95D3B">
      <w:pPr>
        <w:autoSpaceDE w:val="0"/>
        <w:autoSpaceDN w:val="0"/>
        <w:adjustRightInd w:val="0"/>
        <w:spacing w:line="600" w:lineRule="exact"/>
        <w:ind w:firstLine="606"/>
        <w:rPr>
          <w:rFonts w:ascii="仿宋" w:eastAsia="仿宋" w:hAnsi="Times New Roman"/>
          <w:color w:val="000000"/>
          <w:sz w:val="32"/>
          <w:szCs w:val="24"/>
          <w:highlight w:val="white"/>
        </w:rPr>
      </w:pPr>
      <w:r>
        <w:rPr>
          <w:rFonts w:ascii="仿宋" w:eastAsia="仿宋" w:hAnsi="Times New Roman"/>
          <w:b/>
          <w:color w:val="000000"/>
          <w:sz w:val="32"/>
          <w:szCs w:val="24"/>
          <w:highlight w:val="white"/>
        </w:rPr>
        <w:t>2.</w:t>
      </w:r>
      <w:r>
        <w:rPr>
          <w:rFonts w:ascii="仿宋" w:eastAsia="仿宋" w:hAnsi="Times New Roman" w:hint="eastAsia"/>
          <w:b/>
          <w:color w:val="000000"/>
          <w:sz w:val="32"/>
          <w:szCs w:val="24"/>
          <w:highlight w:val="white"/>
        </w:rPr>
        <w:t>一般公共预算财政拨款支出决算结构情况。</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年度一般公共预算财政拨款支出</w:t>
      </w:r>
      <w:r>
        <w:rPr>
          <w:rFonts w:ascii="仿宋" w:eastAsia="仿宋" w:hAnsi="Times New Roman"/>
          <w:color w:val="000000"/>
          <w:sz w:val="32"/>
          <w:szCs w:val="24"/>
          <w:highlight w:val="white"/>
        </w:rPr>
        <w:t>21,720.3</w:t>
      </w:r>
      <w:r>
        <w:rPr>
          <w:rFonts w:ascii="仿宋" w:eastAsia="仿宋" w:hAnsi="Times New Roman" w:hint="eastAsia"/>
          <w:color w:val="000000"/>
          <w:sz w:val="32"/>
          <w:szCs w:val="24"/>
          <w:highlight w:val="white"/>
        </w:rPr>
        <w:t>万元，主要用于以下方面：一般公共服务（类）支出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；国防（类）支出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；公共安全（类）支出</w:t>
      </w:r>
      <w:r>
        <w:rPr>
          <w:rFonts w:ascii="仿宋" w:eastAsia="仿宋" w:hAnsi="Times New Roman"/>
          <w:color w:val="000000"/>
          <w:sz w:val="32"/>
          <w:szCs w:val="24"/>
          <w:highlight w:val="white"/>
          <w:lang w:val="zh-CN"/>
        </w:rPr>
        <w:t>18,607.87</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85.67%</w:t>
      </w:r>
      <w:r>
        <w:rPr>
          <w:rFonts w:ascii="仿宋" w:eastAsia="仿宋" w:hAnsi="Times New Roman" w:hint="eastAsia"/>
          <w:color w:val="000000"/>
          <w:sz w:val="32"/>
          <w:szCs w:val="24"/>
          <w:highlight w:val="white"/>
        </w:rPr>
        <w:t>；教育（类）支出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；科学技术（类）支出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；文化旅游体育与传媒（类）支出</w:t>
      </w:r>
      <w:r>
        <w:rPr>
          <w:rFonts w:ascii="仿宋" w:eastAsia="仿宋" w:hAnsi="Times New Roman"/>
          <w:color w:val="000000"/>
          <w:sz w:val="32"/>
          <w:szCs w:val="24"/>
          <w:highlight w:val="white"/>
          <w:lang w:val="zh-CN"/>
        </w:rPr>
        <w:t>112.03</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0.52%</w:t>
      </w:r>
      <w:r>
        <w:rPr>
          <w:rFonts w:ascii="仿宋" w:eastAsia="仿宋" w:hAnsi="Times New Roman" w:hint="eastAsia"/>
          <w:color w:val="000000"/>
          <w:sz w:val="32"/>
          <w:szCs w:val="24"/>
          <w:highlight w:val="white"/>
        </w:rPr>
        <w:t>；社会保障和就业（类）支出</w:t>
      </w:r>
      <w:r>
        <w:rPr>
          <w:rFonts w:ascii="仿宋" w:eastAsia="仿宋" w:hAnsi="Times New Roman"/>
          <w:color w:val="000000"/>
          <w:sz w:val="32"/>
          <w:szCs w:val="24"/>
          <w:highlight w:val="white"/>
          <w:lang w:val="zh-CN"/>
        </w:rPr>
        <w:t>1,481.51</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6.82%</w:t>
      </w:r>
      <w:r>
        <w:rPr>
          <w:rFonts w:ascii="仿宋" w:eastAsia="仿宋" w:hAnsi="Times New Roman" w:hint="eastAsia"/>
          <w:color w:val="000000"/>
          <w:sz w:val="32"/>
          <w:szCs w:val="24"/>
          <w:highlight w:val="white"/>
        </w:rPr>
        <w:t>；卫生健康（类）支出</w:t>
      </w:r>
      <w:r>
        <w:rPr>
          <w:rFonts w:ascii="仿宋" w:eastAsia="仿宋" w:hAnsi="Times New Roman"/>
          <w:color w:val="000000"/>
          <w:sz w:val="32"/>
          <w:szCs w:val="24"/>
          <w:highlight w:val="white"/>
          <w:lang w:val="zh-CN"/>
        </w:rPr>
        <w:t>660.22</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3.04%</w:t>
      </w:r>
      <w:r>
        <w:rPr>
          <w:rFonts w:ascii="仿宋" w:eastAsia="仿宋" w:hAnsi="Times New Roman" w:hint="eastAsia"/>
          <w:color w:val="000000"/>
          <w:sz w:val="32"/>
          <w:szCs w:val="24"/>
          <w:highlight w:val="white"/>
        </w:rPr>
        <w:t>；节能环保（类）支出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；城乡社区（类）支出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；农林水（类）支出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；交通运输（类）支出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；资源勘探工业信息等（类）支出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；商业服务业等（类）支出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；金融（类）支出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；援助其他地区（类）支出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；自然资源海洋气象等（类）支出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；住房保障（类）支出</w:t>
      </w:r>
      <w:r>
        <w:rPr>
          <w:rFonts w:ascii="仿宋" w:eastAsia="仿宋" w:hAnsi="Times New Roman"/>
          <w:color w:val="000000"/>
          <w:sz w:val="32"/>
          <w:szCs w:val="24"/>
          <w:highlight w:val="white"/>
          <w:lang w:val="zh-CN"/>
        </w:rPr>
        <w:t>858.67</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3.95%</w:t>
      </w:r>
      <w:r>
        <w:rPr>
          <w:rFonts w:ascii="仿宋" w:eastAsia="仿宋" w:hAnsi="Times New Roman" w:hint="eastAsia"/>
          <w:color w:val="000000"/>
          <w:sz w:val="32"/>
          <w:szCs w:val="24"/>
          <w:highlight w:val="white"/>
        </w:rPr>
        <w:t>；粮油物资储备（类）支出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；灾害防治及应急管理（类）支出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；其他（类）支出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；债务还本（类）支出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；债务付息（类）支出</w:t>
      </w:r>
      <w:r>
        <w:rPr>
          <w:rFonts w:ascii="仿宋" w:eastAsia="仿宋" w:hAnsi="Times New Roman"/>
          <w:color w:val="000000"/>
          <w:sz w:val="32"/>
          <w:szCs w:val="24"/>
          <w:highlight w:val="white"/>
          <w:lang w:val="zh-CN"/>
        </w:rPr>
        <w:t>0</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w:t>
      </w:r>
    </w:p>
    <w:p w:rsidR="00D95D3B" w:rsidRDefault="00D95D3B">
      <w:pPr>
        <w:autoSpaceDE w:val="0"/>
        <w:autoSpaceDN w:val="0"/>
        <w:adjustRightInd w:val="0"/>
        <w:spacing w:line="600" w:lineRule="exact"/>
        <w:ind w:firstLine="606"/>
        <w:rPr>
          <w:rFonts w:ascii="仿宋" w:eastAsia="仿宋" w:hAnsi="Times New Roman"/>
          <w:color w:val="000000"/>
          <w:sz w:val="32"/>
          <w:szCs w:val="24"/>
          <w:highlight w:val="white"/>
        </w:rPr>
      </w:pPr>
      <w:r>
        <w:rPr>
          <w:rFonts w:ascii="仿宋" w:eastAsia="仿宋" w:hAnsi="Times New Roman"/>
          <w:b/>
          <w:color w:val="000000"/>
          <w:sz w:val="32"/>
          <w:szCs w:val="24"/>
          <w:highlight w:val="white"/>
        </w:rPr>
        <w:t>3.</w:t>
      </w:r>
      <w:r>
        <w:rPr>
          <w:rFonts w:ascii="仿宋" w:eastAsia="仿宋" w:hAnsi="Times New Roman" w:hint="eastAsia"/>
          <w:b/>
          <w:color w:val="000000"/>
          <w:sz w:val="32"/>
          <w:szCs w:val="24"/>
          <w:highlight w:val="white"/>
        </w:rPr>
        <w:t>一般公共预算财政拨款支出决算具体情况。</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年度一般公共预算财政拨款支出年初预算为</w:t>
      </w:r>
      <w:r>
        <w:rPr>
          <w:rFonts w:ascii="仿宋" w:eastAsia="仿宋" w:hAnsi="Times New Roman"/>
          <w:color w:val="000000"/>
          <w:sz w:val="32"/>
          <w:szCs w:val="24"/>
          <w:highlight w:val="white"/>
        </w:rPr>
        <w:t>23265.6161</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21,720.3</w:t>
      </w:r>
      <w:r>
        <w:rPr>
          <w:rFonts w:ascii="仿宋" w:eastAsia="仿宋" w:hAnsi="Times New Roman" w:hint="eastAsia"/>
          <w:color w:val="000000"/>
          <w:sz w:val="32"/>
          <w:szCs w:val="24"/>
          <w:highlight w:val="white"/>
        </w:rPr>
        <w:t>万元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完成年初预算的</w:t>
      </w:r>
      <w:r>
        <w:rPr>
          <w:rFonts w:ascii="仿宋" w:eastAsia="仿宋" w:hAnsi="Times New Roman"/>
          <w:color w:val="000000"/>
          <w:sz w:val="32"/>
          <w:szCs w:val="24"/>
          <w:highlight w:val="white"/>
        </w:rPr>
        <w:lastRenderedPageBreak/>
        <w:t>93.36%</w:t>
      </w:r>
      <w:r>
        <w:rPr>
          <w:rFonts w:ascii="仿宋" w:eastAsia="仿宋" w:hAnsi="Times New Roman" w:hint="eastAsia"/>
          <w:color w:val="000000"/>
          <w:sz w:val="32"/>
          <w:szCs w:val="24"/>
          <w:highlight w:val="white"/>
        </w:rPr>
        <w:t>，主要原因是基建工程警务中心建设停止。其中：</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公共安全支出（类）武装警察部队（款）武装警察部队（项）。年初预算为</w:t>
      </w:r>
      <w:r>
        <w:rPr>
          <w:rFonts w:ascii="仿宋" w:eastAsia="仿宋" w:hAnsi="Times New Roman"/>
          <w:color w:val="000000"/>
          <w:sz w:val="32"/>
          <w:szCs w:val="24"/>
          <w:highlight w:val="white"/>
        </w:rPr>
        <w:t>50</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50</w:t>
      </w:r>
      <w:r>
        <w:rPr>
          <w:rFonts w:ascii="仿宋" w:eastAsia="仿宋" w:hAnsi="Times New Roman" w:hint="eastAsia"/>
          <w:color w:val="000000"/>
          <w:sz w:val="32"/>
          <w:szCs w:val="24"/>
          <w:highlight w:val="white"/>
        </w:rPr>
        <w:t>万元，完成年初预算的</w:t>
      </w:r>
      <w:r>
        <w:rPr>
          <w:rFonts w:ascii="仿宋" w:eastAsia="仿宋" w:hAnsi="Times New Roman"/>
          <w:color w:val="000000"/>
          <w:sz w:val="32"/>
          <w:szCs w:val="24"/>
          <w:highlight w:val="white"/>
        </w:rPr>
        <w:t>100%</w:t>
      </w:r>
      <w:r>
        <w:rPr>
          <w:rFonts w:ascii="仿宋" w:eastAsia="仿宋" w:hAnsi="Times New Roman" w:hint="eastAsia"/>
          <w:color w:val="000000"/>
          <w:sz w:val="32"/>
          <w:szCs w:val="24"/>
          <w:highlight w:val="white"/>
        </w:rPr>
        <w:t>，决算数等于预算数的主要原因合理安排使用资金。</w:t>
      </w:r>
    </w:p>
    <w:p w:rsidR="00D95D3B" w:rsidRDefault="00D95D3B">
      <w:pPr>
        <w:autoSpaceDE w:val="0"/>
        <w:autoSpaceDN w:val="0"/>
        <w:adjustRightInd w:val="0"/>
        <w:spacing w:line="600" w:lineRule="exact"/>
        <w:ind w:firstLine="640"/>
        <w:jc w:val="left"/>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公共安全支出（类）公安（款）行政运行（项）。年初预算为</w:t>
      </w:r>
      <w:r>
        <w:rPr>
          <w:rFonts w:ascii="仿宋" w:eastAsia="仿宋" w:hAnsi="Times New Roman"/>
          <w:color w:val="000000"/>
          <w:sz w:val="32"/>
          <w:szCs w:val="24"/>
          <w:highlight w:val="white"/>
        </w:rPr>
        <w:t>14238.64</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 xml:space="preserve">14676.66 </w:t>
      </w:r>
      <w:r>
        <w:rPr>
          <w:rFonts w:ascii="仿宋" w:eastAsia="仿宋" w:hAnsi="Times New Roman" w:hint="eastAsia"/>
          <w:color w:val="000000"/>
          <w:sz w:val="32"/>
          <w:szCs w:val="24"/>
          <w:highlight w:val="white"/>
        </w:rPr>
        <w:t>万元，完成年初预算的</w:t>
      </w:r>
      <w:r>
        <w:rPr>
          <w:rFonts w:ascii="仿宋" w:eastAsia="仿宋" w:hAnsi="Times New Roman"/>
          <w:color w:val="000000"/>
          <w:sz w:val="32"/>
          <w:szCs w:val="24"/>
          <w:highlight w:val="white"/>
        </w:rPr>
        <w:t>103.08%</w:t>
      </w:r>
      <w:r>
        <w:rPr>
          <w:rFonts w:ascii="仿宋" w:eastAsia="仿宋" w:hAnsi="Times New Roman" w:hint="eastAsia"/>
          <w:color w:val="000000"/>
          <w:sz w:val="32"/>
          <w:szCs w:val="24"/>
          <w:highlight w:val="white"/>
        </w:rPr>
        <w:t>，决算数大于预算数的主要原因津贴费调整和项目追加。</w:t>
      </w:r>
    </w:p>
    <w:p w:rsidR="00D95D3B" w:rsidRDefault="00D95D3B">
      <w:pPr>
        <w:widowControl/>
        <w:autoSpaceDE w:val="0"/>
        <w:autoSpaceDN w:val="0"/>
        <w:adjustRightInd w:val="0"/>
        <w:spacing w:line="600" w:lineRule="exact"/>
        <w:ind w:firstLine="640"/>
        <w:jc w:val="left"/>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公共安全支出（类）公安（款）一般行政管理事务（项）。年初预算为</w:t>
      </w:r>
      <w:r>
        <w:rPr>
          <w:rFonts w:ascii="仿宋" w:eastAsia="仿宋" w:hAnsi="Times New Roman"/>
          <w:color w:val="000000"/>
          <w:sz w:val="32"/>
          <w:szCs w:val="24"/>
          <w:highlight w:val="white"/>
        </w:rPr>
        <w:t>398.12</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360.12</w:t>
      </w:r>
      <w:r>
        <w:rPr>
          <w:rFonts w:ascii="仿宋" w:eastAsia="仿宋" w:hAnsi="Times New Roman" w:hint="eastAsia"/>
          <w:color w:val="000000"/>
          <w:sz w:val="32"/>
          <w:szCs w:val="24"/>
          <w:highlight w:val="white"/>
        </w:rPr>
        <w:t>万元，完成年初预算的</w:t>
      </w:r>
      <w:r>
        <w:rPr>
          <w:rFonts w:ascii="仿宋" w:eastAsia="仿宋" w:hAnsi="Times New Roman"/>
          <w:color w:val="000000"/>
          <w:sz w:val="32"/>
          <w:szCs w:val="24"/>
          <w:highlight w:val="white"/>
        </w:rPr>
        <w:t>90.48%</w:t>
      </w:r>
      <w:r>
        <w:rPr>
          <w:rFonts w:ascii="仿宋" w:eastAsia="仿宋" w:hAnsi="Times New Roman" w:hint="eastAsia"/>
          <w:color w:val="000000"/>
          <w:sz w:val="32"/>
          <w:szCs w:val="24"/>
          <w:highlight w:val="white"/>
        </w:rPr>
        <w:t>，决算数小于预算数的主要原因中央和省补资金和项目资金变化。</w:t>
      </w:r>
    </w:p>
    <w:p w:rsidR="00D95D3B" w:rsidRDefault="00D95D3B">
      <w:pPr>
        <w:widowControl/>
        <w:autoSpaceDE w:val="0"/>
        <w:autoSpaceDN w:val="0"/>
        <w:adjustRightInd w:val="0"/>
        <w:spacing w:line="600" w:lineRule="exact"/>
        <w:ind w:firstLine="640"/>
        <w:jc w:val="left"/>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公共安全支出（类）公安（款）信息化建设（项）。年初预算为</w:t>
      </w:r>
      <w:r>
        <w:rPr>
          <w:rFonts w:ascii="仿宋" w:eastAsia="仿宋" w:hAnsi="Times New Roman"/>
          <w:color w:val="000000"/>
          <w:sz w:val="32"/>
          <w:szCs w:val="24"/>
          <w:highlight w:val="white"/>
        </w:rPr>
        <w:t>1951</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1804.87</w:t>
      </w:r>
      <w:r>
        <w:rPr>
          <w:rFonts w:ascii="仿宋" w:eastAsia="仿宋" w:hAnsi="Times New Roman" w:hint="eastAsia"/>
          <w:color w:val="000000"/>
          <w:sz w:val="32"/>
          <w:szCs w:val="24"/>
          <w:highlight w:val="white"/>
        </w:rPr>
        <w:t>万元，完成年初预算的</w:t>
      </w:r>
      <w:r>
        <w:rPr>
          <w:rFonts w:ascii="仿宋" w:eastAsia="仿宋" w:hAnsi="Times New Roman"/>
          <w:color w:val="000000"/>
          <w:sz w:val="32"/>
          <w:szCs w:val="24"/>
          <w:highlight w:val="white"/>
        </w:rPr>
        <w:t>92.51%</w:t>
      </w:r>
      <w:r>
        <w:rPr>
          <w:rFonts w:ascii="仿宋" w:eastAsia="仿宋" w:hAnsi="Times New Roman" w:hint="eastAsia"/>
          <w:color w:val="000000"/>
          <w:sz w:val="32"/>
          <w:szCs w:val="24"/>
          <w:highlight w:val="white"/>
        </w:rPr>
        <w:t>，决算数小于预算数的主要原因是中央和省补资金和项目资金。</w:t>
      </w:r>
    </w:p>
    <w:p w:rsidR="00D95D3B" w:rsidRDefault="00D95D3B">
      <w:pPr>
        <w:widowControl/>
        <w:autoSpaceDE w:val="0"/>
        <w:autoSpaceDN w:val="0"/>
        <w:adjustRightInd w:val="0"/>
        <w:spacing w:line="600" w:lineRule="exact"/>
        <w:ind w:firstLine="640"/>
        <w:jc w:val="left"/>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公共安全支出（类）公安（款）执法办案（项）。年初预算为</w:t>
      </w:r>
      <w:r>
        <w:rPr>
          <w:rFonts w:ascii="仿宋" w:eastAsia="仿宋" w:hAnsi="Times New Roman"/>
          <w:color w:val="000000"/>
          <w:sz w:val="32"/>
          <w:szCs w:val="24"/>
          <w:highlight w:val="white"/>
        </w:rPr>
        <w:t>608</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787.56</w:t>
      </w:r>
      <w:r>
        <w:rPr>
          <w:rFonts w:ascii="仿宋" w:eastAsia="仿宋" w:hAnsi="Times New Roman" w:hint="eastAsia"/>
          <w:color w:val="000000"/>
          <w:sz w:val="32"/>
          <w:szCs w:val="24"/>
          <w:highlight w:val="white"/>
        </w:rPr>
        <w:t>万元，完成年初预算的</w:t>
      </w:r>
      <w:r>
        <w:rPr>
          <w:rFonts w:ascii="仿宋" w:eastAsia="仿宋" w:hAnsi="Times New Roman"/>
          <w:color w:val="000000"/>
          <w:sz w:val="32"/>
          <w:szCs w:val="24"/>
          <w:highlight w:val="white"/>
        </w:rPr>
        <w:t>129.53%</w:t>
      </w:r>
      <w:r>
        <w:rPr>
          <w:rFonts w:ascii="仿宋" w:eastAsia="仿宋" w:hAnsi="Times New Roman" w:hint="eastAsia"/>
          <w:color w:val="000000"/>
          <w:sz w:val="32"/>
          <w:szCs w:val="24"/>
          <w:highlight w:val="white"/>
        </w:rPr>
        <w:t>，决算数大于预算数的主要原因中央和省补资金和项目资金。</w:t>
      </w:r>
    </w:p>
    <w:p w:rsidR="00D95D3B" w:rsidRDefault="00D95D3B">
      <w:pPr>
        <w:widowControl/>
        <w:autoSpaceDE w:val="0"/>
        <w:autoSpaceDN w:val="0"/>
        <w:adjustRightInd w:val="0"/>
        <w:spacing w:line="600" w:lineRule="exact"/>
        <w:ind w:firstLine="640"/>
        <w:jc w:val="left"/>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lastRenderedPageBreak/>
        <w:t>公共安全支出（类）公安（款）其他公安支出（项）。年初预算为</w:t>
      </w:r>
      <w:r>
        <w:rPr>
          <w:rFonts w:ascii="仿宋" w:eastAsia="仿宋" w:hAnsi="Times New Roman"/>
          <w:color w:val="000000"/>
          <w:sz w:val="32"/>
          <w:szCs w:val="24"/>
          <w:highlight w:val="white"/>
        </w:rPr>
        <w:t>3468</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928.67</w:t>
      </w:r>
      <w:r>
        <w:rPr>
          <w:rFonts w:ascii="仿宋" w:eastAsia="仿宋" w:hAnsi="Times New Roman" w:hint="eastAsia"/>
          <w:color w:val="000000"/>
          <w:sz w:val="32"/>
          <w:szCs w:val="24"/>
          <w:highlight w:val="white"/>
        </w:rPr>
        <w:t>万元，完成年初预算的</w:t>
      </w:r>
      <w:r>
        <w:rPr>
          <w:rFonts w:ascii="仿宋" w:eastAsia="仿宋" w:hAnsi="Times New Roman"/>
          <w:color w:val="000000"/>
          <w:sz w:val="32"/>
          <w:szCs w:val="24"/>
          <w:highlight w:val="white"/>
        </w:rPr>
        <w:t>26.78%</w:t>
      </w:r>
      <w:r>
        <w:rPr>
          <w:rFonts w:ascii="仿宋" w:eastAsia="仿宋" w:hAnsi="Times New Roman" w:hint="eastAsia"/>
          <w:color w:val="000000"/>
          <w:sz w:val="32"/>
          <w:szCs w:val="24"/>
          <w:highlight w:val="white"/>
        </w:rPr>
        <w:t>，决算数小于预算数的主要原因是警务中心项目停建。</w:t>
      </w:r>
    </w:p>
    <w:p w:rsidR="00D95D3B" w:rsidRDefault="00D95D3B">
      <w:pPr>
        <w:widowControl/>
        <w:autoSpaceDE w:val="0"/>
        <w:autoSpaceDN w:val="0"/>
        <w:adjustRightInd w:val="0"/>
        <w:spacing w:line="600" w:lineRule="exact"/>
        <w:ind w:firstLine="640"/>
        <w:jc w:val="left"/>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文化旅游体育与传媒支出（类）其他文化和旅游体育与媒体支出（款）其他文化和旅游体育与媒体支出（项）。年初预算</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112.03</w:t>
      </w:r>
      <w:r>
        <w:rPr>
          <w:rFonts w:ascii="仿宋" w:eastAsia="仿宋" w:hAnsi="Times New Roman" w:hint="eastAsia"/>
          <w:color w:val="000000"/>
          <w:sz w:val="32"/>
          <w:szCs w:val="24"/>
          <w:highlight w:val="white"/>
        </w:rPr>
        <w:t>万元。决算数大于预算数的主要原因是安保项目追加。</w:t>
      </w:r>
    </w:p>
    <w:p w:rsidR="00D95D3B" w:rsidRDefault="00D95D3B">
      <w:pPr>
        <w:widowControl/>
        <w:autoSpaceDE w:val="0"/>
        <w:autoSpaceDN w:val="0"/>
        <w:adjustRightInd w:val="0"/>
        <w:spacing w:line="600" w:lineRule="exact"/>
        <w:ind w:firstLine="640"/>
        <w:jc w:val="left"/>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社会保障和就业支出（类）行政事业单位养老支出（款）行政单位离退休（项）。年初预算为</w:t>
      </w:r>
      <w:r>
        <w:rPr>
          <w:rFonts w:ascii="仿宋" w:eastAsia="仿宋" w:hAnsi="Times New Roman"/>
          <w:color w:val="000000"/>
          <w:sz w:val="32"/>
          <w:szCs w:val="24"/>
          <w:highlight w:val="white"/>
        </w:rPr>
        <w:t>24.6</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30.97</w:t>
      </w:r>
      <w:r>
        <w:rPr>
          <w:rFonts w:ascii="仿宋" w:eastAsia="仿宋" w:hAnsi="Times New Roman" w:hint="eastAsia"/>
          <w:color w:val="000000"/>
          <w:sz w:val="32"/>
          <w:szCs w:val="24"/>
          <w:highlight w:val="white"/>
        </w:rPr>
        <w:t>万元，完成年初预算的</w:t>
      </w:r>
      <w:r>
        <w:rPr>
          <w:rFonts w:ascii="仿宋" w:eastAsia="仿宋" w:hAnsi="Times New Roman"/>
          <w:color w:val="000000"/>
          <w:sz w:val="32"/>
          <w:szCs w:val="24"/>
          <w:highlight w:val="white"/>
        </w:rPr>
        <w:t>125.89%</w:t>
      </w:r>
      <w:r>
        <w:rPr>
          <w:rFonts w:ascii="仿宋" w:eastAsia="仿宋" w:hAnsi="Times New Roman" w:hint="eastAsia"/>
          <w:color w:val="000000"/>
          <w:sz w:val="32"/>
          <w:szCs w:val="24"/>
          <w:highlight w:val="white"/>
        </w:rPr>
        <w:t>，决算数等于预算数的主要原因行政单位离退休人员的变化。</w:t>
      </w:r>
    </w:p>
    <w:p w:rsidR="00D95D3B" w:rsidRDefault="00D95D3B">
      <w:pPr>
        <w:widowControl/>
        <w:autoSpaceDE w:val="0"/>
        <w:autoSpaceDN w:val="0"/>
        <w:adjustRightInd w:val="0"/>
        <w:spacing w:line="600" w:lineRule="exact"/>
        <w:ind w:firstLine="480"/>
        <w:jc w:val="left"/>
        <w:rPr>
          <w:rFonts w:ascii="仿宋" w:eastAsia="仿宋" w:hAnsi="Times New Roman"/>
          <w:color w:val="000000"/>
          <w:sz w:val="32"/>
          <w:szCs w:val="24"/>
          <w:highlight w:val="white"/>
        </w:rPr>
      </w:pPr>
      <w:r>
        <w:rPr>
          <w:rFonts w:ascii="仿宋" w:eastAsia="仿宋" w:hAnsi="Times New Roman"/>
          <w:color w:val="000000"/>
          <w:sz w:val="32"/>
          <w:szCs w:val="24"/>
          <w:highlight w:val="white"/>
        </w:rPr>
        <w:t xml:space="preserve"> </w:t>
      </w:r>
      <w:r>
        <w:rPr>
          <w:rFonts w:ascii="仿宋" w:eastAsia="仿宋" w:hAnsi="Times New Roman" w:hint="eastAsia"/>
          <w:color w:val="000000"/>
          <w:sz w:val="32"/>
          <w:szCs w:val="24"/>
          <w:highlight w:val="white"/>
        </w:rPr>
        <w:t>社会保障和就业支出（类）行政事业单位养老支出（款）机关事业单位基本养老保险缴费支出（项）。年初预算为</w:t>
      </w:r>
      <w:r>
        <w:rPr>
          <w:rFonts w:ascii="仿宋" w:eastAsia="仿宋" w:hAnsi="Times New Roman"/>
          <w:color w:val="000000"/>
          <w:sz w:val="32"/>
          <w:szCs w:val="24"/>
          <w:highlight w:val="white"/>
        </w:rPr>
        <w:t>637.21</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967.03</w:t>
      </w:r>
      <w:r>
        <w:rPr>
          <w:rFonts w:ascii="仿宋" w:eastAsia="仿宋" w:hAnsi="Times New Roman" w:hint="eastAsia"/>
          <w:color w:val="000000"/>
          <w:sz w:val="32"/>
          <w:szCs w:val="24"/>
          <w:highlight w:val="white"/>
        </w:rPr>
        <w:t>万元，完成年初预算的</w:t>
      </w:r>
      <w:r>
        <w:rPr>
          <w:rFonts w:ascii="仿宋" w:eastAsia="仿宋" w:hAnsi="Times New Roman"/>
          <w:color w:val="000000"/>
          <w:sz w:val="32"/>
          <w:szCs w:val="24"/>
          <w:highlight w:val="white"/>
        </w:rPr>
        <w:t>151.76%</w:t>
      </w:r>
      <w:r>
        <w:rPr>
          <w:rFonts w:ascii="仿宋" w:eastAsia="仿宋" w:hAnsi="Times New Roman" w:hint="eastAsia"/>
          <w:color w:val="000000"/>
          <w:sz w:val="32"/>
          <w:szCs w:val="24"/>
          <w:highlight w:val="white"/>
        </w:rPr>
        <w:t>，决算数大于预算数的主要原因缴费基数和人员变化。</w:t>
      </w:r>
    </w:p>
    <w:p w:rsidR="00D95D3B" w:rsidRDefault="00D95D3B">
      <w:pPr>
        <w:widowControl/>
        <w:autoSpaceDE w:val="0"/>
        <w:autoSpaceDN w:val="0"/>
        <w:adjustRightInd w:val="0"/>
        <w:spacing w:line="600" w:lineRule="exact"/>
        <w:ind w:firstLine="480"/>
        <w:jc w:val="left"/>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社会保障和就业支出（类）行政事业单位养老支出（款）机关事业单位职业年金缴费支出（项）。年初预算为</w:t>
      </w:r>
      <w:r>
        <w:rPr>
          <w:rFonts w:ascii="仿宋" w:eastAsia="仿宋" w:hAnsi="Times New Roman"/>
          <w:color w:val="000000"/>
          <w:sz w:val="32"/>
          <w:szCs w:val="24"/>
          <w:highlight w:val="white"/>
        </w:rPr>
        <w:t>318.6</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683.52</w:t>
      </w:r>
      <w:r>
        <w:rPr>
          <w:rFonts w:ascii="仿宋" w:eastAsia="仿宋" w:hAnsi="Times New Roman" w:hint="eastAsia"/>
          <w:color w:val="000000"/>
          <w:sz w:val="32"/>
          <w:szCs w:val="24"/>
          <w:highlight w:val="white"/>
        </w:rPr>
        <w:t>万元，完成年初预算的</w:t>
      </w:r>
      <w:r>
        <w:rPr>
          <w:rFonts w:ascii="仿宋" w:eastAsia="仿宋" w:hAnsi="Times New Roman"/>
          <w:color w:val="000000"/>
          <w:sz w:val="32"/>
          <w:szCs w:val="24"/>
          <w:highlight w:val="white"/>
        </w:rPr>
        <w:t>214.54%</w:t>
      </w:r>
      <w:r>
        <w:rPr>
          <w:rFonts w:ascii="仿宋" w:eastAsia="仿宋" w:hAnsi="Times New Roman" w:hint="eastAsia"/>
          <w:color w:val="000000"/>
          <w:sz w:val="32"/>
          <w:szCs w:val="24"/>
          <w:highlight w:val="white"/>
        </w:rPr>
        <w:t>，决算数大于预算数的主要原因缴费基数和人员变化。</w:t>
      </w:r>
    </w:p>
    <w:p w:rsidR="00D95D3B" w:rsidRDefault="00D95D3B">
      <w:pPr>
        <w:widowControl/>
        <w:autoSpaceDE w:val="0"/>
        <w:autoSpaceDN w:val="0"/>
        <w:adjustRightInd w:val="0"/>
        <w:spacing w:line="600" w:lineRule="exact"/>
        <w:ind w:firstLine="480"/>
        <w:jc w:val="left"/>
        <w:rPr>
          <w:rFonts w:ascii="仿宋" w:eastAsia="仿宋" w:hAnsi="Times New Roman"/>
          <w:color w:val="000000"/>
          <w:sz w:val="32"/>
          <w:szCs w:val="24"/>
          <w:highlight w:val="white"/>
        </w:rPr>
      </w:pPr>
      <w:r>
        <w:rPr>
          <w:rFonts w:ascii="仿宋" w:eastAsia="仿宋" w:hAnsi="Times New Roman"/>
          <w:color w:val="000000"/>
          <w:sz w:val="32"/>
          <w:szCs w:val="24"/>
          <w:highlight w:val="white"/>
        </w:rPr>
        <w:t xml:space="preserve"> </w:t>
      </w:r>
      <w:r>
        <w:rPr>
          <w:rFonts w:ascii="仿宋" w:eastAsia="仿宋" w:hAnsi="Times New Roman" w:hint="eastAsia"/>
          <w:color w:val="000000"/>
          <w:sz w:val="32"/>
          <w:szCs w:val="24"/>
          <w:highlight w:val="white"/>
        </w:rPr>
        <w:t>卫生健康支出（类）行政事业单位医疗（款）行政单位医疗（项）。年初预算为</w:t>
      </w:r>
      <w:r>
        <w:rPr>
          <w:rFonts w:ascii="仿宋" w:eastAsia="仿宋" w:hAnsi="Times New Roman"/>
          <w:color w:val="000000"/>
          <w:sz w:val="32"/>
          <w:szCs w:val="24"/>
          <w:highlight w:val="white"/>
        </w:rPr>
        <w:t>670.28</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660.22</w:t>
      </w:r>
      <w:r>
        <w:rPr>
          <w:rFonts w:ascii="仿宋" w:eastAsia="仿宋" w:hAnsi="Times New Roman" w:hint="eastAsia"/>
          <w:color w:val="000000"/>
          <w:sz w:val="32"/>
          <w:szCs w:val="24"/>
          <w:highlight w:val="white"/>
        </w:rPr>
        <w:t>万元，完</w:t>
      </w:r>
      <w:r>
        <w:rPr>
          <w:rFonts w:ascii="仿宋" w:eastAsia="仿宋" w:hAnsi="Times New Roman" w:hint="eastAsia"/>
          <w:color w:val="000000"/>
          <w:sz w:val="32"/>
          <w:szCs w:val="24"/>
          <w:highlight w:val="white"/>
        </w:rPr>
        <w:lastRenderedPageBreak/>
        <w:t>成年初预算的</w:t>
      </w:r>
      <w:r>
        <w:rPr>
          <w:rFonts w:ascii="仿宋" w:eastAsia="仿宋" w:hAnsi="Times New Roman"/>
          <w:color w:val="000000"/>
          <w:sz w:val="32"/>
          <w:szCs w:val="24"/>
          <w:highlight w:val="white"/>
        </w:rPr>
        <w:t>98.5%</w:t>
      </w:r>
      <w:r>
        <w:rPr>
          <w:rFonts w:ascii="仿宋" w:eastAsia="仿宋" w:hAnsi="Times New Roman" w:hint="eastAsia"/>
          <w:color w:val="000000"/>
          <w:sz w:val="32"/>
          <w:szCs w:val="24"/>
          <w:highlight w:val="white"/>
        </w:rPr>
        <w:t>，决算数小于预算数的主要原因缴费基数调整和人员变化。</w:t>
      </w:r>
    </w:p>
    <w:p w:rsidR="00D95D3B" w:rsidRDefault="00D95D3B">
      <w:pPr>
        <w:widowControl/>
        <w:autoSpaceDE w:val="0"/>
        <w:autoSpaceDN w:val="0"/>
        <w:adjustRightInd w:val="0"/>
        <w:spacing w:line="600" w:lineRule="exact"/>
        <w:ind w:firstLine="320"/>
        <w:jc w:val="left"/>
        <w:rPr>
          <w:rFonts w:ascii="仿宋" w:eastAsia="仿宋" w:hAnsi="Times New Roman"/>
          <w:color w:val="000000"/>
          <w:sz w:val="32"/>
          <w:szCs w:val="24"/>
          <w:highlight w:val="white"/>
        </w:rPr>
      </w:pPr>
      <w:r>
        <w:rPr>
          <w:rFonts w:ascii="仿宋" w:eastAsia="仿宋" w:hAnsi="Times New Roman"/>
          <w:color w:val="000000"/>
          <w:sz w:val="32"/>
          <w:szCs w:val="24"/>
          <w:highlight w:val="white"/>
        </w:rPr>
        <w:t xml:space="preserve">  </w:t>
      </w:r>
      <w:r>
        <w:rPr>
          <w:rFonts w:ascii="仿宋" w:eastAsia="仿宋" w:hAnsi="Times New Roman" w:hint="eastAsia"/>
          <w:color w:val="000000"/>
          <w:sz w:val="32"/>
          <w:szCs w:val="24"/>
          <w:highlight w:val="white"/>
        </w:rPr>
        <w:t>住房保障支出（类）住房改革支出（款）住房公积金（项）。年初预算为</w:t>
      </w:r>
      <w:r>
        <w:rPr>
          <w:rFonts w:ascii="仿宋" w:eastAsia="仿宋" w:hAnsi="Times New Roman"/>
          <w:color w:val="000000"/>
          <w:sz w:val="32"/>
          <w:szCs w:val="24"/>
          <w:highlight w:val="white"/>
        </w:rPr>
        <w:t>901.16</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858.67</w:t>
      </w:r>
      <w:r>
        <w:rPr>
          <w:rFonts w:ascii="仿宋" w:eastAsia="仿宋" w:hAnsi="Times New Roman" w:hint="eastAsia"/>
          <w:color w:val="000000"/>
          <w:sz w:val="32"/>
          <w:szCs w:val="24"/>
          <w:highlight w:val="white"/>
        </w:rPr>
        <w:t>万元，完成年初预算的</w:t>
      </w:r>
      <w:r>
        <w:rPr>
          <w:rFonts w:ascii="仿宋" w:eastAsia="仿宋" w:hAnsi="Times New Roman"/>
          <w:color w:val="000000"/>
          <w:sz w:val="32"/>
          <w:szCs w:val="24"/>
          <w:highlight w:val="white"/>
        </w:rPr>
        <w:t>95.28%</w:t>
      </w:r>
      <w:r>
        <w:rPr>
          <w:rFonts w:ascii="仿宋" w:eastAsia="仿宋" w:hAnsi="Times New Roman" w:hint="eastAsia"/>
          <w:color w:val="000000"/>
          <w:sz w:val="32"/>
          <w:szCs w:val="24"/>
          <w:highlight w:val="white"/>
        </w:rPr>
        <w:t>，决算数小于预算数的主要原因缴费基数调整和人员变化。</w:t>
      </w:r>
    </w:p>
    <w:p w:rsidR="00D95D3B" w:rsidRDefault="00D95D3B">
      <w:pPr>
        <w:autoSpaceDE w:val="0"/>
        <w:autoSpaceDN w:val="0"/>
        <w:adjustRightInd w:val="0"/>
        <w:spacing w:line="600" w:lineRule="exact"/>
        <w:ind w:firstLine="641"/>
        <w:jc w:val="left"/>
        <w:rPr>
          <w:rFonts w:ascii="楷体" w:eastAsia="楷体" w:hAnsi="Times New Roman"/>
          <w:b/>
          <w:color w:val="000000"/>
          <w:sz w:val="32"/>
          <w:szCs w:val="24"/>
          <w:highlight w:val="white"/>
        </w:rPr>
      </w:pPr>
      <w:r>
        <w:rPr>
          <w:rFonts w:ascii="楷体" w:eastAsia="楷体" w:hAnsi="Times New Roman" w:hint="eastAsia"/>
          <w:b/>
          <w:color w:val="000000"/>
          <w:sz w:val="32"/>
          <w:szCs w:val="24"/>
          <w:highlight w:val="white"/>
        </w:rPr>
        <w:t>（六）一般公共预算财政拨款基本支出决算情况说明</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年度一般公共预算财政拨款基本支出</w:t>
      </w:r>
      <w:r>
        <w:rPr>
          <w:rFonts w:ascii="仿宋" w:eastAsia="仿宋" w:hAnsi="Times New Roman"/>
          <w:color w:val="000000"/>
          <w:sz w:val="32"/>
          <w:szCs w:val="24"/>
          <w:highlight w:val="white"/>
        </w:rPr>
        <w:t>17,677.06</w:t>
      </w:r>
      <w:r>
        <w:rPr>
          <w:rFonts w:ascii="仿宋" w:eastAsia="仿宋" w:hAnsi="Times New Roman" w:hint="eastAsia"/>
          <w:color w:val="000000"/>
          <w:sz w:val="32"/>
          <w:szCs w:val="24"/>
          <w:highlight w:val="white"/>
        </w:rPr>
        <w:t>万元，其中：</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人员经费</w:t>
      </w:r>
      <w:r>
        <w:rPr>
          <w:rFonts w:ascii="仿宋" w:eastAsia="仿宋" w:hAnsi="Times New Roman"/>
          <w:color w:val="000000"/>
          <w:sz w:val="32"/>
          <w:szCs w:val="24"/>
          <w:highlight w:val="white"/>
        </w:rPr>
        <w:t>15,552.45</w:t>
      </w:r>
      <w:r>
        <w:rPr>
          <w:rFonts w:ascii="仿宋" w:eastAsia="仿宋" w:hAnsi="Times New Roman" w:hint="eastAsia"/>
          <w:color w:val="000000"/>
          <w:sz w:val="32"/>
          <w:szCs w:val="24"/>
          <w:highlight w:val="white"/>
        </w:rPr>
        <w:t>万元，主要包括：基本工资、津贴补贴、奖金、其他社会保障缴费、伙食补助费、机关事业单位基本养老保险缴纳、职业年金缴纳、其他工资福利支出、离休费、生活补助、住房公积金、其他对个人和家庭的补助支出。</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公用经费</w:t>
      </w:r>
      <w:r>
        <w:rPr>
          <w:rFonts w:ascii="仿宋" w:eastAsia="仿宋" w:hAnsi="Times New Roman"/>
          <w:color w:val="000000"/>
          <w:sz w:val="32"/>
          <w:szCs w:val="24"/>
          <w:highlight w:val="white"/>
        </w:rPr>
        <w:t>2,124.61</w:t>
      </w:r>
      <w:r>
        <w:rPr>
          <w:rFonts w:ascii="仿宋" w:eastAsia="仿宋" w:hAnsi="Times New Roman" w:hint="eastAsia"/>
          <w:color w:val="000000"/>
          <w:sz w:val="32"/>
          <w:szCs w:val="24"/>
          <w:highlight w:val="white"/>
        </w:rPr>
        <w:t>万元，主要包括：办公费、印刷费、水费、电费、邮电费、差旅费、维修（护）费、租赁费、会议费、培训费、公务接待费、被装购置费、劳务费、委托业务费、工会经费、福利费、公务用车运行维护费、其他交通费用、其他商品和服务支出。</w:t>
      </w:r>
    </w:p>
    <w:p w:rsidR="00D95D3B" w:rsidRDefault="00D95D3B">
      <w:pPr>
        <w:autoSpaceDE w:val="0"/>
        <w:autoSpaceDN w:val="0"/>
        <w:adjustRightInd w:val="0"/>
        <w:spacing w:line="600" w:lineRule="exact"/>
        <w:ind w:firstLine="594"/>
        <w:rPr>
          <w:rFonts w:ascii="仿宋" w:eastAsia="仿宋" w:hAnsi="Times New Roman"/>
          <w:b/>
          <w:color w:val="000000"/>
          <w:sz w:val="32"/>
          <w:szCs w:val="24"/>
          <w:highlight w:val="white"/>
        </w:rPr>
      </w:pPr>
      <w:r>
        <w:rPr>
          <w:rFonts w:ascii="楷体" w:eastAsia="楷体" w:hAnsi="Times New Roman" w:hint="eastAsia"/>
          <w:b/>
          <w:color w:val="000000"/>
          <w:sz w:val="32"/>
          <w:szCs w:val="24"/>
          <w:highlight w:val="white"/>
        </w:rPr>
        <w:t>（七）政府性基金预算财政拨款支出</w:t>
      </w:r>
      <w:r>
        <w:rPr>
          <w:rFonts w:ascii="楷体" w:eastAsia="楷体" w:hAnsi="Times New Roman" w:hint="eastAsia"/>
          <w:b/>
          <w:color w:val="000000"/>
          <w:sz w:val="32"/>
          <w:szCs w:val="24"/>
          <w:highlight w:val="white"/>
          <w:lang w:val="zh-CN"/>
        </w:rPr>
        <w:t>决算</w:t>
      </w:r>
      <w:r>
        <w:rPr>
          <w:rFonts w:ascii="楷体" w:eastAsia="楷体" w:hAnsi="Times New Roman" w:hint="eastAsia"/>
          <w:b/>
          <w:color w:val="000000"/>
          <w:sz w:val="32"/>
          <w:szCs w:val="24"/>
          <w:highlight w:val="white"/>
        </w:rPr>
        <w:t>总体情况说明</w:t>
      </w:r>
    </w:p>
    <w:p w:rsidR="00D95D3B" w:rsidRDefault="00D95D3B">
      <w:pPr>
        <w:autoSpaceDE w:val="0"/>
        <w:autoSpaceDN w:val="0"/>
        <w:adjustRightInd w:val="0"/>
        <w:spacing w:line="600" w:lineRule="exact"/>
        <w:ind w:firstLine="594"/>
        <w:rPr>
          <w:rFonts w:ascii="仿宋" w:eastAsia="仿宋" w:hAnsi="Times New Roman"/>
          <w:b/>
          <w:color w:val="000000"/>
          <w:sz w:val="32"/>
          <w:szCs w:val="24"/>
          <w:highlight w:val="white"/>
        </w:rPr>
      </w:pPr>
      <w:r>
        <w:rPr>
          <w:rFonts w:ascii="仿宋" w:eastAsia="仿宋" w:hAnsi="Times New Roman" w:hint="eastAsia"/>
          <w:color w:val="000000"/>
          <w:sz w:val="32"/>
          <w:szCs w:val="24"/>
          <w:highlight w:val="white"/>
        </w:rPr>
        <w:t>本单位</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年度无政府性基金预算财政拨款收支安排，故无相关数据。</w:t>
      </w:r>
    </w:p>
    <w:p w:rsidR="00D95D3B" w:rsidRDefault="00D95D3B">
      <w:pPr>
        <w:autoSpaceDE w:val="0"/>
        <w:autoSpaceDN w:val="0"/>
        <w:adjustRightInd w:val="0"/>
        <w:spacing w:line="600" w:lineRule="exact"/>
        <w:ind w:firstLine="594"/>
        <w:rPr>
          <w:rFonts w:ascii="楷体" w:eastAsia="楷体" w:hAnsi="Times New Roman"/>
          <w:b/>
          <w:color w:val="000000"/>
          <w:sz w:val="32"/>
          <w:szCs w:val="24"/>
          <w:highlight w:val="white"/>
        </w:rPr>
      </w:pPr>
      <w:r>
        <w:rPr>
          <w:rFonts w:ascii="楷体" w:eastAsia="楷体" w:hAnsi="Times New Roman" w:hint="eastAsia"/>
          <w:b/>
          <w:color w:val="000000"/>
          <w:sz w:val="32"/>
          <w:szCs w:val="24"/>
          <w:highlight w:val="white"/>
        </w:rPr>
        <w:lastRenderedPageBreak/>
        <w:t>（八）国有资本经营预算财政拨款支出</w:t>
      </w:r>
      <w:r>
        <w:rPr>
          <w:rFonts w:ascii="楷体" w:eastAsia="楷体" w:hAnsi="Times New Roman" w:hint="eastAsia"/>
          <w:b/>
          <w:color w:val="000000"/>
          <w:sz w:val="32"/>
          <w:szCs w:val="24"/>
          <w:highlight w:val="white"/>
          <w:lang w:val="zh-CN"/>
        </w:rPr>
        <w:t>决算</w:t>
      </w:r>
      <w:r>
        <w:rPr>
          <w:rFonts w:ascii="楷体" w:eastAsia="楷体" w:hAnsi="Times New Roman" w:hint="eastAsia"/>
          <w:b/>
          <w:color w:val="000000"/>
          <w:sz w:val="32"/>
          <w:szCs w:val="24"/>
          <w:highlight w:val="white"/>
        </w:rPr>
        <w:t>总体情况说</w:t>
      </w:r>
    </w:p>
    <w:p w:rsidR="00D95D3B" w:rsidRDefault="00D95D3B">
      <w:pPr>
        <w:autoSpaceDE w:val="0"/>
        <w:autoSpaceDN w:val="0"/>
        <w:adjustRightInd w:val="0"/>
        <w:spacing w:line="600" w:lineRule="exact"/>
        <w:ind w:firstLine="594"/>
        <w:rPr>
          <w:rFonts w:ascii="仿宋" w:eastAsia="仿宋" w:hAnsi="Times New Roman"/>
          <w:b/>
          <w:color w:val="000000"/>
          <w:sz w:val="32"/>
          <w:szCs w:val="24"/>
          <w:highlight w:val="white"/>
        </w:rPr>
      </w:pPr>
      <w:r>
        <w:rPr>
          <w:rFonts w:ascii="仿宋" w:eastAsia="仿宋" w:hAnsi="Times New Roman" w:hint="eastAsia"/>
          <w:color w:val="000000"/>
          <w:sz w:val="32"/>
          <w:szCs w:val="24"/>
          <w:highlight w:val="white"/>
        </w:rPr>
        <w:t>本单位</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年度无国有资本经营预算财政拨款收支安排，故无相关数据。</w:t>
      </w:r>
    </w:p>
    <w:p w:rsidR="00D95D3B" w:rsidRDefault="00D95D3B">
      <w:pPr>
        <w:autoSpaceDE w:val="0"/>
        <w:autoSpaceDN w:val="0"/>
        <w:adjustRightInd w:val="0"/>
        <w:spacing w:line="600" w:lineRule="exact"/>
        <w:ind w:firstLine="641"/>
        <w:jc w:val="left"/>
        <w:rPr>
          <w:rFonts w:ascii="楷体" w:eastAsia="楷体" w:hAnsi="Times New Roman"/>
          <w:b/>
          <w:color w:val="000000"/>
          <w:sz w:val="32"/>
          <w:szCs w:val="24"/>
          <w:highlight w:val="white"/>
        </w:rPr>
      </w:pPr>
      <w:r>
        <w:rPr>
          <w:rFonts w:ascii="楷体" w:eastAsia="楷体" w:hAnsi="Times New Roman" w:hint="eastAsia"/>
          <w:b/>
          <w:color w:val="000000"/>
          <w:sz w:val="32"/>
          <w:szCs w:val="24"/>
          <w:highlight w:val="white"/>
        </w:rPr>
        <w:t>（九）财政拨款</w:t>
      </w:r>
      <w:r>
        <w:rPr>
          <w:rFonts w:ascii="Times New Roman" w:eastAsia="楷体" w:hAnsi="Times New Roman"/>
          <w:b/>
          <w:color w:val="000000"/>
          <w:sz w:val="32"/>
          <w:szCs w:val="24"/>
          <w:highlight w:val="white"/>
        </w:rPr>
        <w:t>“</w:t>
      </w:r>
      <w:r>
        <w:rPr>
          <w:rFonts w:ascii="楷体" w:eastAsia="楷体" w:hAnsi="Times New Roman" w:hint="eastAsia"/>
          <w:b/>
          <w:color w:val="000000"/>
          <w:sz w:val="32"/>
          <w:szCs w:val="24"/>
          <w:highlight w:val="white"/>
        </w:rPr>
        <w:t>三公</w:t>
      </w:r>
      <w:r>
        <w:rPr>
          <w:rFonts w:ascii="Times New Roman" w:eastAsia="楷体" w:hAnsi="Times New Roman"/>
          <w:b/>
          <w:color w:val="000000"/>
          <w:sz w:val="32"/>
          <w:szCs w:val="24"/>
          <w:highlight w:val="white"/>
        </w:rPr>
        <w:t>”</w:t>
      </w:r>
      <w:r>
        <w:rPr>
          <w:rFonts w:ascii="楷体" w:eastAsia="楷体" w:hAnsi="Times New Roman" w:hint="eastAsia"/>
          <w:b/>
          <w:color w:val="000000"/>
          <w:sz w:val="32"/>
          <w:szCs w:val="24"/>
          <w:highlight w:val="white"/>
        </w:rPr>
        <w:t>经费支出决算情况说明</w:t>
      </w:r>
    </w:p>
    <w:p w:rsidR="00D95D3B" w:rsidRDefault="00D95D3B">
      <w:pPr>
        <w:autoSpaceDE w:val="0"/>
        <w:autoSpaceDN w:val="0"/>
        <w:adjustRightInd w:val="0"/>
        <w:spacing w:line="600" w:lineRule="exact"/>
        <w:ind w:firstLine="594"/>
        <w:rPr>
          <w:rFonts w:ascii="仿宋" w:eastAsia="仿宋" w:hAnsi="Times New Roman"/>
          <w:b/>
          <w:color w:val="000000"/>
          <w:sz w:val="32"/>
          <w:szCs w:val="24"/>
          <w:highlight w:val="white"/>
        </w:rPr>
      </w:pPr>
      <w:r>
        <w:rPr>
          <w:rFonts w:ascii="仿宋" w:eastAsia="仿宋" w:hAnsi="Times New Roman"/>
          <w:b/>
          <w:color w:val="000000"/>
          <w:sz w:val="32"/>
          <w:szCs w:val="24"/>
          <w:highlight w:val="white"/>
        </w:rPr>
        <w:t>1.</w:t>
      </w:r>
      <w:r>
        <w:rPr>
          <w:rFonts w:ascii="Times New Roman" w:eastAsia="仿宋" w:hAnsi="Times New Roman"/>
          <w:b/>
          <w:color w:val="000000"/>
          <w:sz w:val="32"/>
          <w:szCs w:val="24"/>
          <w:highlight w:val="white"/>
        </w:rPr>
        <w:t>“</w:t>
      </w:r>
      <w:r>
        <w:rPr>
          <w:rFonts w:ascii="仿宋" w:eastAsia="仿宋" w:hAnsi="Times New Roman" w:hint="eastAsia"/>
          <w:b/>
          <w:color w:val="000000"/>
          <w:sz w:val="32"/>
          <w:szCs w:val="24"/>
          <w:highlight w:val="white"/>
        </w:rPr>
        <w:t>三公</w:t>
      </w:r>
      <w:r>
        <w:rPr>
          <w:rFonts w:ascii="Times New Roman" w:eastAsia="仿宋" w:hAnsi="Times New Roman"/>
          <w:b/>
          <w:color w:val="000000"/>
          <w:sz w:val="32"/>
          <w:szCs w:val="24"/>
          <w:highlight w:val="white"/>
        </w:rPr>
        <w:t>”</w:t>
      </w:r>
      <w:r>
        <w:rPr>
          <w:rFonts w:ascii="仿宋" w:eastAsia="仿宋" w:hAnsi="Times New Roman" w:hint="eastAsia"/>
          <w:b/>
          <w:color w:val="000000"/>
          <w:sz w:val="32"/>
          <w:szCs w:val="24"/>
          <w:highlight w:val="white"/>
        </w:rPr>
        <w:t>经费财政拨款支出决算总体情况说明。</w:t>
      </w:r>
      <w:r>
        <w:rPr>
          <w:rFonts w:ascii="仿宋" w:eastAsia="仿宋" w:hAnsi="Times New Roman"/>
          <w:b/>
          <w:color w:val="000000"/>
          <w:sz w:val="32"/>
          <w:szCs w:val="24"/>
          <w:highlight w:val="white"/>
        </w:rPr>
        <w:t xml:space="preserve"> </w:t>
      </w:r>
    </w:p>
    <w:p w:rsidR="00D95D3B" w:rsidRDefault="00D95D3B">
      <w:pPr>
        <w:autoSpaceDE w:val="0"/>
        <w:autoSpaceDN w:val="0"/>
        <w:adjustRightInd w:val="0"/>
        <w:spacing w:line="600" w:lineRule="exact"/>
        <w:ind w:firstLine="594"/>
        <w:rPr>
          <w:rFonts w:ascii="仿宋" w:eastAsia="仿宋" w:hAnsi="Times New Roman"/>
          <w:color w:val="000000"/>
          <w:sz w:val="32"/>
          <w:szCs w:val="24"/>
          <w:highlight w:val="white"/>
        </w:rPr>
      </w:pP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w:t>
      </w:r>
      <w:r>
        <w:rPr>
          <w:rFonts w:ascii="Times New Roman" w:eastAsia="仿宋" w:hAnsi="Times New Roman"/>
          <w:color w:val="000000"/>
          <w:sz w:val="32"/>
          <w:szCs w:val="24"/>
          <w:highlight w:val="white"/>
        </w:rPr>
        <w:t>“</w:t>
      </w:r>
      <w:r>
        <w:rPr>
          <w:rFonts w:ascii="仿宋" w:eastAsia="仿宋" w:hAnsi="Times New Roman" w:hint="eastAsia"/>
          <w:color w:val="000000"/>
          <w:sz w:val="32"/>
          <w:szCs w:val="24"/>
          <w:highlight w:val="white"/>
        </w:rPr>
        <w:t>三公</w:t>
      </w:r>
      <w:r>
        <w:rPr>
          <w:rFonts w:ascii="Times New Roman" w:eastAsia="仿宋" w:hAnsi="Times New Roman"/>
          <w:color w:val="000000"/>
          <w:sz w:val="32"/>
          <w:szCs w:val="24"/>
          <w:highlight w:val="white"/>
        </w:rPr>
        <w:t>”</w:t>
      </w:r>
      <w:r>
        <w:rPr>
          <w:rFonts w:ascii="仿宋" w:eastAsia="仿宋" w:hAnsi="Times New Roman" w:hint="eastAsia"/>
          <w:color w:val="000000"/>
          <w:sz w:val="32"/>
          <w:szCs w:val="24"/>
          <w:highlight w:val="white"/>
        </w:rPr>
        <w:t>经费财政拨款支出全年预算为</w:t>
      </w:r>
      <w:r>
        <w:rPr>
          <w:rFonts w:ascii="仿宋" w:eastAsia="仿宋" w:hAnsi="Times New Roman"/>
          <w:color w:val="000000"/>
          <w:sz w:val="32"/>
          <w:szCs w:val="24"/>
          <w:highlight w:val="white"/>
        </w:rPr>
        <w:t>186.39</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184.78</w:t>
      </w:r>
      <w:r>
        <w:rPr>
          <w:rFonts w:ascii="仿宋" w:eastAsia="仿宋" w:hAnsi="Times New Roman" w:hint="eastAsia"/>
          <w:color w:val="000000"/>
          <w:sz w:val="32"/>
          <w:szCs w:val="24"/>
          <w:highlight w:val="white"/>
        </w:rPr>
        <w:t>万元，完成全年预算的</w:t>
      </w:r>
      <w:r>
        <w:rPr>
          <w:rFonts w:ascii="仿宋" w:eastAsia="仿宋" w:hAnsi="Times New Roman"/>
          <w:color w:val="000000"/>
          <w:sz w:val="32"/>
          <w:szCs w:val="24"/>
          <w:highlight w:val="white"/>
        </w:rPr>
        <w:t>99.14%,2022</w:t>
      </w:r>
      <w:r>
        <w:rPr>
          <w:rFonts w:ascii="仿宋" w:eastAsia="仿宋" w:hAnsi="Times New Roman" w:hint="eastAsia"/>
          <w:color w:val="000000"/>
          <w:sz w:val="32"/>
          <w:szCs w:val="24"/>
          <w:highlight w:val="white"/>
        </w:rPr>
        <w:t>年度</w:t>
      </w:r>
      <w:r>
        <w:rPr>
          <w:rFonts w:ascii="Times New Roman" w:eastAsia="仿宋" w:hAnsi="Times New Roman"/>
          <w:color w:val="000000"/>
          <w:sz w:val="32"/>
          <w:szCs w:val="24"/>
          <w:highlight w:val="white"/>
        </w:rPr>
        <w:t>“</w:t>
      </w:r>
      <w:r>
        <w:rPr>
          <w:rFonts w:ascii="仿宋" w:eastAsia="仿宋" w:hAnsi="Times New Roman" w:hint="eastAsia"/>
          <w:color w:val="000000"/>
          <w:sz w:val="32"/>
          <w:szCs w:val="24"/>
          <w:highlight w:val="white"/>
        </w:rPr>
        <w:t>三公</w:t>
      </w:r>
      <w:r>
        <w:rPr>
          <w:rFonts w:ascii="Times New Roman" w:eastAsia="仿宋" w:hAnsi="Times New Roman"/>
          <w:color w:val="000000"/>
          <w:sz w:val="32"/>
          <w:szCs w:val="24"/>
          <w:highlight w:val="white"/>
        </w:rPr>
        <w:t>”</w:t>
      </w:r>
      <w:r>
        <w:rPr>
          <w:rFonts w:ascii="仿宋" w:eastAsia="仿宋" w:hAnsi="Times New Roman" w:hint="eastAsia"/>
          <w:color w:val="000000"/>
          <w:sz w:val="32"/>
          <w:szCs w:val="24"/>
          <w:highlight w:val="white"/>
        </w:rPr>
        <w:t>经费支出决算数小于全年预算数的主要原因是严格执行公务接待规定，压缩公务接待规模；严格用车管理，确保车辆用在实处。</w:t>
      </w:r>
    </w:p>
    <w:p w:rsidR="00D95D3B" w:rsidRDefault="00D95D3B">
      <w:pPr>
        <w:autoSpaceDE w:val="0"/>
        <w:autoSpaceDN w:val="0"/>
        <w:adjustRightInd w:val="0"/>
        <w:spacing w:line="600" w:lineRule="exact"/>
        <w:ind w:firstLine="594"/>
        <w:rPr>
          <w:rFonts w:ascii="仿宋" w:eastAsia="仿宋" w:hAnsi="Times New Roman"/>
          <w:b/>
          <w:color w:val="000000"/>
          <w:sz w:val="32"/>
          <w:szCs w:val="24"/>
          <w:highlight w:val="white"/>
        </w:rPr>
      </w:pPr>
      <w:r>
        <w:rPr>
          <w:rFonts w:ascii="仿宋" w:eastAsia="仿宋" w:hAnsi="Times New Roman"/>
          <w:b/>
          <w:color w:val="000000"/>
          <w:sz w:val="32"/>
          <w:szCs w:val="24"/>
          <w:highlight w:val="white"/>
        </w:rPr>
        <w:t>2.</w:t>
      </w:r>
      <w:r>
        <w:rPr>
          <w:rFonts w:ascii="Times New Roman" w:eastAsia="仿宋" w:hAnsi="Times New Roman"/>
          <w:b/>
          <w:color w:val="000000"/>
          <w:sz w:val="32"/>
          <w:szCs w:val="24"/>
          <w:highlight w:val="white"/>
        </w:rPr>
        <w:t>“</w:t>
      </w:r>
      <w:r>
        <w:rPr>
          <w:rFonts w:ascii="仿宋" w:eastAsia="仿宋" w:hAnsi="Times New Roman" w:hint="eastAsia"/>
          <w:b/>
          <w:color w:val="000000"/>
          <w:sz w:val="32"/>
          <w:szCs w:val="24"/>
          <w:highlight w:val="white"/>
        </w:rPr>
        <w:t>三公</w:t>
      </w:r>
      <w:r>
        <w:rPr>
          <w:rFonts w:ascii="Times New Roman" w:eastAsia="仿宋" w:hAnsi="Times New Roman"/>
          <w:b/>
          <w:color w:val="000000"/>
          <w:sz w:val="32"/>
          <w:szCs w:val="24"/>
          <w:highlight w:val="white"/>
        </w:rPr>
        <w:t>”</w:t>
      </w:r>
      <w:r>
        <w:rPr>
          <w:rFonts w:ascii="仿宋" w:eastAsia="仿宋" w:hAnsi="Times New Roman" w:hint="eastAsia"/>
          <w:b/>
          <w:color w:val="000000"/>
          <w:sz w:val="32"/>
          <w:szCs w:val="24"/>
          <w:highlight w:val="white"/>
        </w:rPr>
        <w:t>经费财政拨款支出决算具体情况说明。</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w:t>
      </w:r>
      <w:r>
        <w:rPr>
          <w:rFonts w:ascii="Times New Roman" w:eastAsia="仿宋" w:hAnsi="Times New Roman"/>
          <w:color w:val="000000"/>
          <w:sz w:val="32"/>
          <w:szCs w:val="24"/>
          <w:highlight w:val="white"/>
        </w:rPr>
        <w:t>“</w:t>
      </w:r>
      <w:r>
        <w:rPr>
          <w:rFonts w:ascii="仿宋" w:eastAsia="仿宋" w:hAnsi="Times New Roman" w:hint="eastAsia"/>
          <w:color w:val="000000"/>
          <w:sz w:val="32"/>
          <w:szCs w:val="24"/>
          <w:highlight w:val="white"/>
        </w:rPr>
        <w:t>三公</w:t>
      </w:r>
      <w:r>
        <w:rPr>
          <w:rFonts w:ascii="Times New Roman" w:eastAsia="仿宋" w:hAnsi="Times New Roman"/>
          <w:color w:val="000000"/>
          <w:sz w:val="32"/>
          <w:szCs w:val="24"/>
          <w:highlight w:val="white"/>
        </w:rPr>
        <w:t>”</w:t>
      </w:r>
      <w:r>
        <w:rPr>
          <w:rFonts w:ascii="仿宋" w:eastAsia="仿宋" w:hAnsi="Times New Roman" w:hint="eastAsia"/>
          <w:color w:val="000000"/>
          <w:sz w:val="32"/>
          <w:szCs w:val="24"/>
          <w:highlight w:val="white"/>
        </w:rPr>
        <w:t>经费财政拨款支出决算中，因公出国（境）费用支出决算为</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万元，占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，与</w:t>
      </w:r>
      <w:r>
        <w:rPr>
          <w:rFonts w:ascii="仿宋" w:eastAsia="仿宋" w:hAnsi="Times New Roman"/>
          <w:color w:val="000000"/>
          <w:sz w:val="32"/>
          <w:szCs w:val="24"/>
          <w:highlight w:val="white"/>
        </w:rPr>
        <w:t>2021</w:t>
      </w:r>
      <w:r>
        <w:rPr>
          <w:rFonts w:ascii="仿宋" w:eastAsia="仿宋" w:hAnsi="Times New Roman" w:hint="eastAsia"/>
          <w:color w:val="000000"/>
          <w:sz w:val="32"/>
          <w:szCs w:val="24"/>
          <w:highlight w:val="white"/>
        </w:rPr>
        <w:t>年度相比，增加</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万元，增长</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，主要原因是没有用于机关及下属预算单位人员在办理案件等公务出国（境）的住宿费、国际旅费、培训费、公杂费等支出；公务用车购置及运行维护费支出决算为</w:t>
      </w:r>
      <w:r>
        <w:rPr>
          <w:rFonts w:ascii="仿宋" w:eastAsia="仿宋" w:hAnsi="Times New Roman"/>
          <w:color w:val="000000"/>
          <w:sz w:val="32"/>
          <w:szCs w:val="24"/>
          <w:highlight w:val="white"/>
        </w:rPr>
        <w:t>151.5</w:t>
      </w:r>
      <w:r>
        <w:rPr>
          <w:rFonts w:ascii="仿宋" w:eastAsia="仿宋" w:hAnsi="Times New Roman" w:hint="eastAsia"/>
          <w:color w:val="000000"/>
          <w:sz w:val="32"/>
          <w:szCs w:val="24"/>
          <w:highlight w:val="white"/>
        </w:rPr>
        <w:t>万元，占</w:t>
      </w:r>
      <w:r>
        <w:rPr>
          <w:rFonts w:ascii="仿宋" w:eastAsia="仿宋" w:hAnsi="Times New Roman"/>
          <w:color w:val="000000"/>
          <w:sz w:val="32"/>
          <w:szCs w:val="24"/>
          <w:highlight w:val="white"/>
        </w:rPr>
        <w:t>81.99%</w:t>
      </w:r>
      <w:r>
        <w:rPr>
          <w:rFonts w:ascii="仿宋" w:eastAsia="仿宋" w:hAnsi="Times New Roman" w:hint="eastAsia"/>
          <w:color w:val="000000"/>
          <w:sz w:val="32"/>
          <w:szCs w:val="24"/>
          <w:highlight w:val="white"/>
        </w:rPr>
        <w:t>，与</w:t>
      </w:r>
      <w:r>
        <w:rPr>
          <w:rFonts w:ascii="仿宋" w:eastAsia="仿宋" w:hAnsi="Times New Roman"/>
          <w:color w:val="000000"/>
          <w:sz w:val="32"/>
          <w:szCs w:val="24"/>
          <w:highlight w:val="white"/>
        </w:rPr>
        <w:t>2021</w:t>
      </w:r>
      <w:r>
        <w:rPr>
          <w:rFonts w:ascii="仿宋" w:eastAsia="仿宋" w:hAnsi="Times New Roman" w:hint="eastAsia"/>
          <w:color w:val="000000"/>
          <w:sz w:val="32"/>
          <w:szCs w:val="24"/>
          <w:highlight w:val="white"/>
        </w:rPr>
        <w:t>年度相比，减少</w:t>
      </w:r>
      <w:r>
        <w:rPr>
          <w:rFonts w:ascii="仿宋" w:eastAsia="仿宋" w:hAnsi="Times New Roman"/>
          <w:color w:val="000000"/>
          <w:sz w:val="32"/>
          <w:szCs w:val="24"/>
          <w:highlight w:val="white"/>
        </w:rPr>
        <w:t>26.76</w:t>
      </w:r>
      <w:r>
        <w:rPr>
          <w:rFonts w:ascii="仿宋" w:eastAsia="仿宋" w:hAnsi="Times New Roman" w:hint="eastAsia"/>
          <w:color w:val="000000"/>
          <w:sz w:val="32"/>
          <w:szCs w:val="24"/>
          <w:highlight w:val="white"/>
        </w:rPr>
        <w:t>万元，下降</w:t>
      </w:r>
      <w:r>
        <w:rPr>
          <w:rFonts w:ascii="仿宋" w:eastAsia="仿宋" w:hAnsi="Times New Roman"/>
          <w:color w:val="000000"/>
          <w:sz w:val="32"/>
          <w:szCs w:val="24"/>
          <w:highlight w:val="white"/>
        </w:rPr>
        <w:t>15.01%</w:t>
      </w:r>
      <w:r>
        <w:rPr>
          <w:rFonts w:ascii="仿宋" w:eastAsia="仿宋" w:hAnsi="Times New Roman" w:hint="eastAsia"/>
          <w:color w:val="000000"/>
          <w:sz w:val="32"/>
          <w:szCs w:val="24"/>
          <w:highlight w:val="white"/>
        </w:rPr>
        <w:t>，主要原因是减少公务用车购置；公务接待费支出决算为</w:t>
      </w:r>
      <w:r>
        <w:rPr>
          <w:rFonts w:ascii="仿宋" w:eastAsia="仿宋" w:hAnsi="Times New Roman"/>
          <w:color w:val="000000"/>
          <w:sz w:val="32"/>
          <w:szCs w:val="24"/>
          <w:highlight w:val="white"/>
        </w:rPr>
        <w:t>33.29</w:t>
      </w:r>
      <w:r>
        <w:rPr>
          <w:rFonts w:ascii="仿宋" w:eastAsia="仿宋" w:hAnsi="Times New Roman" w:hint="eastAsia"/>
          <w:color w:val="000000"/>
          <w:sz w:val="32"/>
          <w:szCs w:val="24"/>
          <w:highlight w:val="white"/>
        </w:rPr>
        <w:t>万元，占</w:t>
      </w:r>
      <w:r>
        <w:rPr>
          <w:rFonts w:ascii="仿宋" w:eastAsia="仿宋" w:hAnsi="Times New Roman"/>
          <w:color w:val="000000"/>
          <w:sz w:val="32"/>
          <w:szCs w:val="24"/>
          <w:highlight w:val="white"/>
        </w:rPr>
        <w:t>18.01%</w:t>
      </w:r>
      <w:r>
        <w:rPr>
          <w:rFonts w:ascii="仿宋" w:eastAsia="仿宋" w:hAnsi="Times New Roman" w:hint="eastAsia"/>
          <w:color w:val="000000"/>
          <w:sz w:val="32"/>
          <w:szCs w:val="24"/>
          <w:highlight w:val="white"/>
        </w:rPr>
        <w:t>，与</w:t>
      </w:r>
      <w:r>
        <w:rPr>
          <w:rFonts w:ascii="仿宋" w:eastAsia="仿宋" w:hAnsi="Times New Roman"/>
          <w:color w:val="000000"/>
          <w:sz w:val="32"/>
          <w:szCs w:val="24"/>
          <w:highlight w:val="white"/>
        </w:rPr>
        <w:t>2021</w:t>
      </w:r>
      <w:r>
        <w:rPr>
          <w:rFonts w:ascii="仿宋" w:eastAsia="仿宋" w:hAnsi="Times New Roman" w:hint="eastAsia"/>
          <w:color w:val="000000"/>
          <w:sz w:val="32"/>
          <w:szCs w:val="24"/>
          <w:highlight w:val="white"/>
        </w:rPr>
        <w:t>年度相比，减少</w:t>
      </w:r>
      <w:r>
        <w:rPr>
          <w:rFonts w:ascii="仿宋" w:eastAsia="仿宋" w:hAnsi="Times New Roman"/>
          <w:color w:val="000000"/>
          <w:sz w:val="32"/>
          <w:szCs w:val="24"/>
          <w:highlight w:val="white"/>
        </w:rPr>
        <w:t>0.01</w:t>
      </w:r>
      <w:r>
        <w:rPr>
          <w:rFonts w:ascii="仿宋" w:eastAsia="仿宋" w:hAnsi="Times New Roman" w:hint="eastAsia"/>
          <w:color w:val="000000"/>
          <w:sz w:val="32"/>
          <w:szCs w:val="24"/>
          <w:highlight w:val="white"/>
        </w:rPr>
        <w:t>万元，下降</w:t>
      </w:r>
      <w:r>
        <w:rPr>
          <w:rFonts w:ascii="仿宋" w:eastAsia="仿宋" w:hAnsi="Times New Roman"/>
          <w:color w:val="000000"/>
          <w:sz w:val="32"/>
          <w:szCs w:val="24"/>
          <w:highlight w:val="white"/>
        </w:rPr>
        <w:t>0.03%</w:t>
      </w:r>
      <w:r>
        <w:rPr>
          <w:rFonts w:ascii="仿宋" w:eastAsia="仿宋" w:hAnsi="Times New Roman" w:hint="eastAsia"/>
          <w:color w:val="000000"/>
          <w:sz w:val="32"/>
          <w:szCs w:val="24"/>
          <w:highlight w:val="white"/>
        </w:rPr>
        <w:t>，主要原因是对公务接待费用进行严格管理，压缩开支。具体情况如下：</w:t>
      </w:r>
    </w:p>
    <w:p w:rsidR="00D95D3B" w:rsidRDefault="00D95D3B">
      <w:pPr>
        <w:autoSpaceDE w:val="0"/>
        <w:autoSpaceDN w:val="0"/>
        <w:adjustRightInd w:val="0"/>
        <w:spacing w:line="600" w:lineRule="exact"/>
        <w:ind w:firstLine="641"/>
        <w:rPr>
          <w:rFonts w:ascii="仿宋" w:eastAsia="仿宋" w:hAnsi="Times New Roman"/>
          <w:color w:val="000000"/>
          <w:sz w:val="32"/>
          <w:szCs w:val="24"/>
          <w:highlight w:val="white"/>
        </w:rPr>
      </w:pPr>
      <w:r>
        <w:rPr>
          <w:rFonts w:ascii="仿宋" w:eastAsia="仿宋" w:hAnsi="Times New Roman" w:hint="eastAsia"/>
          <w:b/>
          <w:color w:val="000000"/>
          <w:sz w:val="32"/>
          <w:szCs w:val="24"/>
          <w:highlight w:val="white"/>
        </w:rPr>
        <w:lastRenderedPageBreak/>
        <w:t>（</w:t>
      </w:r>
      <w:r>
        <w:rPr>
          <w:rFonts w:ascii="仿宋" w:eastAsia="仿宋" w:hAnsi="Times New Roman"/>
          <w:b/>
          <w:color w:val="000000"/>
          <w:sz w:val="32"/>
          <w:szCs w:val="24"/>
          <w:highlight w:val="white"/>
        </w:rPr>
        <w:t>1</w:t>
      </w:r>
      <w:r>
        <w:rPr>
          <w:rFonts w:ascii="仿宋" w:eastAsia="仿宋" w:hAnsi="Times New Roman" w:hint="eastAsia"/>
          <w:b/>
          <w:color w:val="000000"/>
          <w:sz w:val="32"/>
          <w:szCs w:val="24"/>
          <w:highlight w:val="white"/>
        </w:rPr>
        <w:t>）因公出国（境）费用</w:t>
      </w:r>
      <w:r>
        <w:rPr>
          <w:rFonts w:ascii="仿宋" w:eastAsia="仿宋" w:hAnsi="Times New Roman" w:hint="eastAsia"/>
          <w:color w:val="000000"/>
          <w:sz w:val="32"/>
          <w:szCs w:val="24"/>
          <w:highlight w:val="white"/>
        </w:rPr>
        <w:t>全年预算数为</w:t>
      </w:r>
      <w:r>
        <w:rPr>
          <w:rFonts w:ascii="仿宋" w:eastAsia="仿宋" w:hAnsi="Times New Roman"/>
          <w:sz w:val="30"/>
          <w:szCs w:val="24"/>
          <w:highlight w:val="white"/>
          <w:lang w:val="zh-CN"/>
        </w:rPr>
        <w:t>0</w:t>
      </w:r>
      <w:r>
        <w:rPr>
          <w:rFonts w:ascii="仿宋" w:eastAsia="仿宋" w:hAnsi="Times New Roman" w:hint="eastAsia"/>
          <w:color w:val="000000"/>
          <w:sz w:val="32"/>
          <w:szCs w:val="24"/>
          <w:highlight w:val="white"/>
        </w:rPr>
        <w:t>万元，支出决算为</w:t>
      </w:r>
      <w:r>
        <w:rPr>
          <w:rFonts w:ascii="仿宋" w:eastAsia="仿宋" w:hAnsi="Times New Roman"/>
          <w:sz w:val="30"/>
          <w:szCs w:val="24"/>
          <w:highlight w:val="white"/>
          <w:lang w:val="zh-CN"/>
        </w:rPr>
        <w:t>0</w:t>
      </w:r>
      <w:r>
        <w:rPr>
          <w:rFonts w:ascii="仿宋" w:eastAsia="仿宋" w:hAnsi="Times New Roman" w:hint="eastAsia"/>
          <w:color w:val="000000"/>
          <w:sz w:val="32"/>
          <w:szCs w:val="24"/>
          <w:highlight w:val="white"/>
        </w:rPr>
        <w:t>万元。完成全年预算的</w:t>
      </w:r>
      <w:r>
        <w:rPr>
          <w:rFonts w:ascii="仿宋" w:eastAsia="仿宋" w:hAnsi="Times New Roman"/>
          <w:sz w:val="30"/>
          <w:szCs w:val="24"/>
          <w:highlight w:val="white"/>
          <w:lang w:val="zh-CN"/>
        </w:rPr>
        <w:t>0</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主要用于机关及下属预算单位人员的办理刑事案件等公务出国（境）的住宿费、国际旅费、培训费、公杂费等支出。决算数等于预算数的主要原因是没有用于机关及下属预算单位人员的办理案件等公务出国（境）的住宿费、国际旅费、培训费、公杂费等支出。全年使用一般公共预算财政拨款支出涉及因公出国</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境</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团组</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个；累计</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人次。无开支内容。</w:t>
      </w:r>
    </w:p>
    <w:p w:rsidR="00D95D3B" w:rsidRDefault="00D95D3B">
      <w:pPr>
        <w:autoSpaceDE w:val="0"/>
        <w:autoSpaceDN w:val="0"/>
        <w:adjustRightInd w:val="0"/>
        <w:spacing w:line="600" w:lineRule="exact"/>
        <w:ind w:firstLine="641"/>
        <w:rPr>
          <w:rFonts w:ascii="仿宋" w:eastAsia="仿宋" w:hAnsi="Times New Roman"/>
          <w:color w:val="000000"/>
          <w:sz w:val="32"/>
          <w:szCs w:val="24"/>
          <w:highlight w:val="white"/>
        </w:rPr>
      </w:pPr>
      <w:r>
        <w:rPr>
          <w:rFonts w:ascii="仿宋" w:eastAsia="仿宋" w:hAnsi="Times New Roman" w:hint="eastAsia"/>
          <w:b/>
          <w:color w:val="000000"/>
          <w:sz w:val="32"/>
          <w:szCs w:val="24"/>
          <w:highlight w:val="white"/>
        </w:rPr>
        <w:t>（</w:t>
      </w:r>
      <w:r>
        <w:rPr>
          <w:rFonts w:ascii="仿宋" w:eastAsia="仿宋" w:hAnsi="Times New Roman"/>
          <w:b/>
          <w:color w:val="000000"/>
          <w:sz w:val="32"/>
          <w:szCs w:val="24"/>
          <w:highlight w:val="white"/>
        </w:rPr>
        <w:t>2</w:t>
      </w:r>
      <w:r>
        <w:rPr>
          <w:rFonts w:ascii="仿宋" w:eastAsia="仿宋" w:hAnsi="Times New Roman" w:hint="eastAsia"/>
          <w:b/>
          <w:color w:val="000000"/>
          <w:sz w:val="32"/>
          <w:szCs w:val="24"/>
          <w:highlight w:val="white"/>
        </w:rPr>
        <w:t>）公务用车购置及运行维护费</w:t>
      </w:r>
      <w:r>
        <w:rPr>
          <w:rFonts w:ascii="仿宋" w:eastAsia="仿宋" w:hAnsi="Times New Roman" w:hint="eastAsia"/>
          <w:color w:val="000000"/>
          <w:sz w:val="32"/>
          <w:szCs w:val="24"/>
          <w:highlight w:val="white"/>
        </w:rPr>
        <w:t>全年预算数为</w:t>
      </w:r>
      <w:r>
        <w:rPr>
          <w:rFonts w:ascii="仿宋" w:eastAsia="仿宋" w:hAnsi="Times New Roman"/>
          <w:color w:val="000000"/>
          <w:sz w:val="32"/>
          <w:szCs w:val="24"/>
          <w:highlight w:val="white"/>
        </w:rPr>
        <w:t>153.1</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t>151.5</w:t>
      </w:r>
      <w:r>
        <w:rPr>
          <w:rFonts w:ascii="仿宋" w:eastAsia="仿宋" w:hAnsi="Times New Roman" w:hint="eastAsia"/>
          <w:color w:val="000000"/>
          <w:sz w:val="32"/>
          <w:szCs w:val="24"/>
          <w:highlight w:val="white"/>
        </w:rPr>
        <w:t>万元，完成全年预算的</w:t>
      </w:r>
      <w:r>
        <w:rPr>
          <w:rFonts w:ascii="仿宋" w:eastAsia="仿宋" w:hAnsi="Times New Roman"/>
          <w:color w:val="000000"/>
          <w:sz w:val="32"/>
          <w:szCs w:val="24"/>
          <w:highlight w:val="white"/>
        </w:rPr>
        <w:t>98.95%</w:t>
      </w:r>
      <w:r>
        <w:rPr>
          <w:rFonts w:ascii="仿宋" w:eastAsia="仿宋" w:hAnsi="Times New Roman" w:hint="eastAsia"/>
          <w:color w:val="000000"/>
          <w:sz w:val="32"/>
          <w:szCs w:val="24"/>
          <w:highlight w:val="white"/>
        </w:rPr>
        <w:t>。决算数小于全年预算数的主要原因是加强了车辆管理，购置车辆精打细算。</w:t>
      </w:r>
    </w:p>
    <w:p w:rsidR="00D95D3B" w:rsidRDefault="00D95D3B">
      <w:pPr>
        <w:autoSpaceDE w:val="0"/>
        <w:autoSpaceDN w:val="0"/>
        <w:adjustRightInd w:val="0"/>
        <w:spacing w:line="600" w:lineRule="exact"/>
        <w:ind w:firstLine="641"/>
        <w:rPr>
          <w:rFonts w:ascii="仿宋" w:eastAsia="仿宋" w:hAnsi="Times New Roman"/>
          <w:color w:val="000000"/>
          <w:sz w:val="32"/>
          <w:szCs w:val="24"/>
          <w:highlight w:val="white"/>
        </w:rPr>
      </w:pPr>
      <w:r>
        <w:rPr>
          <w:rFonts w:ascii="仿宋" w:eastAsia="仿宋" w:hAnsi="Times New Roman" w:hint="eastAsia"/>
          <w:b/>
          <w:color w:val="000000"/>
          <w:sz w:val="32"/>
          <w:szCs w:val="24"/>
          <w:highlight w:val="white"/>
        </w:rPr>
        <w:t>公务用车购置</w:t>
      </w:r>
      <w:r>
        <w:rPr>
          <w:rFonts w:ascii="仿宋" w:eastAsia="仿宋" w:hAnsi="Times New Roman" w:hint="eastAsia"/>
          <w:color w:val="000000"/>
          <w:sz w:val="32"/>
          <w:szCs w:val="24"/>
          <w:highlight w:val="white"/>
        </w:rPr>
        <w:t>全年预算数为</w:t>
      </w:r>
      <w:r>
        <w:rPr>
          <w:rFonts w:ascii="仿宋" w:eastAsia="仿宋" w:hAnsi="Times New Roman"/>
          <w:sz w:val="30"/>
          <w:szCs w:val="24"/>
          <w:highlight w:val="white"/>
          <w:lang w:val="zh-CN"/>
        </w:rPr>
        <w:t>0</w:t>
      </w:r>
      <w:r>
        <w:rPr>
          <w:rFonts w:ascii="仿宋" w:eastAsia="仿宋" w:hAnsi="Times New Roman" w:hint="eastAsia"/>
          <w:color w:val="000000"/>
          <w:sz w:val="32"/>
          <w:szCs w:val="24"/>
          <w:highlight w:val="white"/>
        </w:rPr>
        <w:t>万元，支出决算为</w:t>
      </w:r>
      <w:r>
        <w:rPr>
          <w:rFonts w:ascii="仿宋" w:eastAsia="仿宋" w:hAnsi="Times New Roman"/>
          <w:sz w:val="30"/>
          <w:szCs w:val="24"/>
          <w:highlight w:val="white"/>
          <w:lang w:val="zh-CN"/>
        </w:rPr>
        <w:t>0</w:t>
      </w:r>
      <w:r>
        <w:rPr>
          <w:rFonts w:ascii="仿宋" w:eastAsia="仿宋" w:hAnsi="Times New Roman" w:hint="eastAsia"/>
          <w:color w:val="000000"/>
          <w:sz w:val="32"/>
          <w:szCs w:val="24"/>
          <w:highlight w:val="white"/>
        </w:rPr>
        <w:t>万元（含购置税等附加费用），完成全年预算的</w:t>
      </w:r>
      <w:r>
        <w:rPr>
          <w:rFonts w:ascii="仿宋" w:eastAsia="仿宋" w:hAnsi="Times New Roman"/>
          <w:sz w:val="30"/>
          <w:szCs w:val="24"/>
          <w:highlight w:val="white"/>
          <w:lang w:val="zh-CN"/>
        </w:rPr>
        <w:t>0</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。决算数等于全年预算数的主要原因是无开支内容。</w:t>
      </w:r>
    </w:p>
    <w:p w:rsidR="00D95D3B" w:rsidRDefault="00D95D3B">
      <w:pPr>
        <w:autoSpaceDE w:val="0"/>
        <w:autoSpaceDN w:val="0"/>
        <w:adjustRightInd w:val="0"/>
        <w:spacing w:line="600" w:lineRule="exact"/>
        <w:ind w:firstLine="641"/>
        <w:rPr>
          <w:rFonts w:ascii="仿宋" w:eastAsia="仿宋" w:hAnsi="Times New Roman"/>
          <w:color w:val="000000"/>
          <w:sz w:val="32"/>
          <w:szCs w:val="24"/>
          <w:highlight w:val="white"/>
        </w:rPr>
      </w:pPr>
      <w:r>
        <w:rPr>
          <w:rFonts w:ascii="仿宋" w:eastAsia="仿宋" w:hAnsi="Times New Roman" w:hint="eastAsia"/>
          <w:b/>
          <w:color w:val="000000"/>
          <w:sz w:val="32"/>
          <w:szCs w:val="24"/>
          <w:highlight w:val="white"/>
        </w:rPr>
        <w:t>公务用车运行维护费</w:t>
      </w:r>
      <w:r>
        <w:rPr>
          <w:rFonts w:ascii="仿宋" w:eastAsia="仿宋" w:hAnsi="Times New Roman" w:hint="eastAsia"/>
          <w:color w:val="000000"/>
          <w:sz w:val="32"/>
          <w:szCs w:val="24"/>
          <w:highlight w:val="white"/>
        </w:rPr>
        <w:t>全年预算数为</w:t>
      </w:r>
      <w:r>
        <w:rPr>
          <w:rFonts w:ascii="仿宋" w:eastAsia="仿宋" w:hAnsi="Times New Roman"/>
          <w:sz w:val="30"/>
          <w:szCs w:val="24"/>
          <w:highlight w:val="white"/>
          <w:lang w:val="zh-CN"/>
        </w:rPr>
        <w:t>153.1</w:t>
      </w:r>
      <w:r>
        <w:rPr>
          <w:rFonts w:ascii="仿宋" w:eastAsia="仿宋" w:hAnsi="Times New Roman" w:hint="eastAsia"/>
          <w:color w:val="000000"/>
          <w:sz w:val="32"/>
          <w:szCs w:val="24"/>
          <w:highlight w:val="white"/>
        </w:rPr>
        <w:t>万元，支出决算为</w:t>
      </w:r>
      <w:r>
        <w:rPr>
          <w:rFonts w:ascii="仿宋" w:eastAsia="仿宋" w:hAnsi="Times New Roman"/>
          <w:sz w:val="30"/>
          <w:szCs w:val="24"/>
          <w:highlight w:val="white"/>
          <w:lang w:val="zh-CN"/>
        </w:rPr>
        <w:t>151.5</w:t>
      </w:r>
      <w:r>
        <w:rPr>
          <w:rFonts w:ascii="仿宋" w:eastAsia="仿宋" w:hAnsi="Times New Roman" w:hint="eastAsia"/>
          <w:color w:val="000000"/>
          <w:sz w:val="32"/>
          <w:szCs w:val="24"/>
          <w:highlight w:val="white"/>
        </w:rPr>
        <w:t>万元，完成全年预算的</w:t>
      </w:r>
      <w:r>
        <w:rPr>
          <w:rFonts w:ascii="仿宋" w:eastAsia="仿宋" w:hAnsi="Times New Roman"/>
          <w:sz w:val="30"/>
          <w:szCs w:val="24"/>
          <w:highlight w:val="white"/>
          <w:lang w:val="zh-CN"/>
        </w:rPr>
        <w:t>98.95</w:t>
      </w:r>
      <w:r>
        <w:rPr>
          <w:rFonts w:ascii="仿宋" w:eastAsia="仿宋" w:hAnsi="Times New Roman"/>
          <w:color w:val="000000"/>
          <w:sz w:val="32"/>
          <w:szCs w:val="24"/>
          <w:highlight w:val="white"/>
        </w:rPr>
        <w:t>%</w:t>
      </w:r>
      <w:r>
        <w:rPr>
          <w:rFonts w:ascii="仿宋" w:eastAsia="仿宋" w:hAnsi="Times New Roman" w:hint="eastAsia"/>
          <w:color w:val="000000"/>
          <w:sz w:val="32"/>
          <w:szCs w:val="24"/>
          <w:highlight w:val="white"/>
        </w:rPr>
        <w:t>。决算数小于全年预算数的主要原因是加强了车辆管理。主要用于公安工作业务等所需的公务用车燃料费、维修费、过路过桥费、保险费等支出；截至</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w:t>
      </w:r>
      <w:r>
        <w:rPr>
          <w:rFonts w:ascii="仿宋" w:eastAsia="仿宋" w:hAnsi="Times New Roman"/>
          <w:color w:val="000000"/>
          <w:sz w:val="32"/>
          <w:szCs w:val="24"/>
          <w:highlight w:val="white"/>
        </w:rPr>
        <w:t>12</w:t>
      </w:r>
      <w:r>
        <w:rPr>
          <w:rFonts w:ascii="仿宋" w:eastAsia="仿宋" w:hAnsi="Times New Roman" w:hint="eastAsia"/>
          <w:color w:val="000000"/>
          <w:sz w:val="32"/>
          <w:szCs w:val="24"/>
          <w:highlight w:val="white"/>
        </w:rPr>
        <w:t>月</w:t>
      </w:r>
      <w:r>
        <w:rPr>
          <w:rFonts w:ascii="仿宋" w:eastAsia="仿宋" w:hAnsi="Times New Roman"/>
          <w:color w:val="000000"/>
          <w:sz w:val="32"/>
          <w:szCs w:val="24"/>
          <w:highlight w:val="white"/>
        </w:rPr>
        <w:t>31</w:t>
      </w:r>
      <w:r>
        <w:rPr>
          <w:rFonts w:ascii="仿宋" w:eastAsia="仿宋" w:hAnsi="Times New Roman" w:hint="eastAsia"/>
          <w:color w:val="000000"/>
          <w:sz w:val="32"/>
          <w:szCs w:val="24"/>
          <w:highlight w:val="white"/>
        </w:rPr>
        <w:t>日，财政拨款开支的公务用车保有量为</w:t>
      </w:r>
      <w:r>
        <w:rPr>
          <w:rFonts w:ascii="仿宋" w:eastAsia="仿宋" w:hAnsi="Times New Roman"/>
          <w:color w:val="000000"/>
          <w:sz w:val="32"/>
          <w:szCs w:val="24"/>
          <w:highlight w:val="white"/>
        </w:rPr>
        <w:t>73</w:t>
      </w:r>
      <w:r>
        <w:rPr>
          <w:rFonts w:ascii="仿宋" w:eastAsia="仿宋" w:hAnsi="Times New Roman" w:hint="eastAsia"/>
          <w:color w:val="000000"/>
          <w:sz w:val="32"/>
          <w:szCs w:val="24"/>
          <w:highlight w:val="white"/>
        </w:rPr>
        <w:t>辆。</w:t>
      </w:r>
    </w:p>
    <w:p w:rsidR="00D95D3B" w:rsidRDefault="00D95D3B">
      <w:pPr>
        <w:autoSpaceDE w:val="0"/>
        <w:autoSpaceDN w:val="0"/>
        <w:adjustRightInd w:val="0"/>
        <w:spacing w:line="600" w:lineRule="exact"/>
        <w:ind w:firstLine="641"/>
        <w:rPr>
          <w:rFonts w:ascii="仿宋" w:eastAsia="仿宋" w:hAnsi="Times New Roman"/>
          <w:color w:val="000000"/>
          <w:sz w:val="32"/>
          <w:szCs w:val="24"/>
          <w:highlight w:val="white"/>
        </w:rPr>
      </w:pPr>
      <w:r>
        <w:rPr>
          <w:rFonts w:ascii="仿宋" w:eastAsia="仿宋" w:hAnsi="Times New Roman" w:hint="eastAsia"/>
          <w:b/>
          <w:color w:val="000000"/>
          <w:sz w:val="32"/>
          <w:szCs w:val="24"/>
          <w:highlight w:val="white"/>
        </w:rPr>
        <w:t>（</w:t>
      </w:r>
      <w:r>
        <w:rPr>
          <w:rFonts w:ascii="仿宋" w:eastAsia="仿宋" w:hAnsi="Times New Roman"/>
          <w:b/>
          <w:color w:val="000000"/>
          <w:sz w:val="32"/>
          <w:szCs w:val="24"/>
          <w:highlight w:val="white"/>
        </w:rPr>
        <w:t>3</w:t>
      </w:r>
      <w:r>
        <w:rPr>
          <w:rFonts w:ascii="仿宋" w:eastAsia="仿宋" w:hAnsi="Times New Roman" w:hint="eastAsia"/>
          <w:b/>
          <w:color w:val="000000"/>
          <w:sz w:val="32"/>
          <w:szCs w:val="24"/>
          <w:highlight w:val="white"/>
        </w:rPr>
        <w:t>）公务接待费</w:t>
      </w:r>
      <w:r>
        <w:rPr>
          <w:rFonts w:ascii="仿宋" w:eastAsia="仿宋" w:hAnsi="Times New Roman" w:hint="eastAsia"/>
          <w:color w:val="000000"/>
          <w:sz w:val="32"/>
          <w:szCs w:val="24"/>
          <w:highlight w:val="white"/>
        </w:rPr>
        <w:t>全年预算数为</w:t>
      </w:r>
      <w:r>
        <w:rPr>
          <w:rFonts w:ascii="仿宋" w:eastAsia="仿宋" w:hAnsi="Times New Roman"/>
          <w:color w:val="000000"/>
          <w:sz w:val="32"/>
          <w:szCs w:val="24"/>
          <w:highlight w:val="white"/>
        </w:rPr>
        <w:t>33.29</w:t>
      </w:r>
      <w:r>
        <w:rPr>
          <w:rFonts w:ascii="仿宋" w:eastAsia="仿宋" w:hAnsi="Times New Roman" w:hint="eastAsia"/>
          <w:color w:val="000000"/>
          <w:sz w:val="32"/>
          <w:szCs w:val="24"/>
          <w:highlight w:val="white"/>
        </w:rPr>
        <w:t>万元，支出决算为</w:t>
      </w:r>
      <w:r>
        <w:rPr>
          <w:rFonts w:ascii="仿宋" w:eastAsia="仿宋" w:hAnsi="Times New Roman"/>
          <w:color w:val="000000"/>
          <w:sz w:val="32"/>
          <w:szCs w:val="24"/>
          <w:highlight w:val="white"/>
        </w:rPr>
        <w:lastRenderedPageBreak/>
        <w:t>33.29</w:t>
      </w:r>
      <w:r>
        <w:rPr>
          <w:rFonts w:ascii="仿宋" w:eastAsia="仿宋" w:hAnsi="Times New Roman" w:hint="eastAsia"/>
          <w:color w:val="000000"/>
          <w:sz w:val="32"/>
          <w:szCs w:val="24"/>
          <w:highlight w:val="white"/>
        </w:rPr>
        <w:t>万元，完成全年预算的</w:t>
      </w:r>
      <w:r>
        <w:rPr>
          <w:rFonts w:ascii="仿宋" w:eastAsia="仿宋" w:hAnsi="Times New Roman"/>
          <w:color w:val="000000"/>
          <w:sz w:val="32"/>
          <w:szCs w:val="24"/>
          <w:highlight w:val="white"/>
        </w:rPr>
        <w:t>100%</w:t>
      </w:r>
      <w:r>
        <w:rPr>
          <w:rFonts w:ascii="仿宋" w:eastAsia="仿宋" w:hAnsi="Times New Roman" w:hint="eastAsia"/>
          <w:color w:val="000000"/>
          <w:sz w:val="32"/>
          <w:szCs w:val="24"/>
          <w:highlight w:val="white"/>
        </w:rPr>
        <w:t>。国内公务接待</w:t>
      </w:r>
      <w:r>
        <w:rPr>
          <w:rFonts w:ascii="仿宋" w:eastAsia="仿宋" w:hAnsi="Times New Roman"/>
          <w:color w:val="000000"/>
          <w:sz w:val="32"/>
          <w:szCs w:val="24"/>
          <w:highlight w:val="white"/>
        </w:rPr>
        <w:t>784</w:t>
      </w:r>
      <w:r>
        <w:rPr>
          <w:rFonts w:ascii="仿宋" w:eastAsia="仿宋" w:hAnsi="Times New Roman" w:hint="eastAsia"/>
          <w:color w:val="000000"/>
          <w:sz w:val="32"/>
          <w:szCs w:val="24"/>
          <w:highlight w:val="white"/>
        </w:rPr>
        <w:t>批次，累计</w:t>
      </w:r>
      <w:r>
        <w:rPr>
          <w:rFonts w:ascii="仿宋" w:eastAsia="仿宋" w:hAnsi="Times New Roman"/>
          <w:color w:val="000000"/>
          <w:sz w:val="32"/>
          <w:szCs w:val="24"/>
          <w:highlight w:val="white"/>
        </w:rPr>
        <w:t>6,615</w:t>
      </w:r>
      <w:r>
        <w:rPr>
          <w:rFonts w:ascii="仿宋" w:eastAsia="仿宋" w:hAnsi="Times New Roman" w:hint="eastAsia"/>
          <w:color w:val="000000"/>
          <w:sz w:val="32"/>
          <w:szCs w:val="24"/>
          <w:highlight w:val="white"/>
        </w:rPr>
        <w:t>人次。主要用于接待上级部门及兄弟单位和基层单位来县公安局调研指导、联系工作等公务活动接待支出。决算数等于全年预算数的主要原因是严格控制公务接待费用。其中：</w:t>
      </w:r>
    </w:p>
    <w:p w:rsidR="00D95D3B" w:rsidRDefault="00D95D3B">
      <w:pPr>
        <w:autoSpaceDE w:val="0"/>
        <w:autoSpaceDN w:val="0"/>
        <w:adjustRightInd w:val="0"/>
        <w:spacing w:line="600" w:lineRule="exact"/>
        <w:ind w:firstLine="641"/>
        <w:rPr>
          <w:rFonts w:ascii="仿宋" w:eastAsia="仿宋" w:hAnsi="Times New Roman"/>
          <w:color w:val="000000"/>
          <w:sz w:val="32"/>
          <w:szCs w:val="24"/>
          <w:highlight w:val="white"/>
        </w:rPr>
      </w:pPr>
      <w:r>
        <w:rPr>
          <w:rFonts w:ascii="仿宋" w:eastAsia="仿宋" w:hAnsi="Times New Roman" w:hint="eastAsia"/>
          <w:b/>
          <w:color w:val="000000"/>
          <w:sz w:val="32"/>
          <w:szCs w:val="24"/>
          <w:highlight w:val="white"/>
        </w:rPr>
        <w:t>外事接待</w:t>
      </w:r>
      <w:r>
        <w:rPr>
          <w:rFonts w:ascii="仿宋" w:eastAsia="仿宋" w:hAnsi="Times New Roman" w:hint="eastAsia"/>
          <w:color w:val="000000"/>
          <w:sz w:val="32"/>
          <w:szCs w:val="24"/>
          <w:highlight w:val="white"/>
        </w:rPr>
        <w:t>支出</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万元，主要用于国外、境外来宾接待</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批次，累计</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人次。</w:t>
      </w:r>
    </w:p>
    <w:p w:rsidR="00D95D3B" w:rsidRDefault="00D95D3B">
      <w:pPr>
        <w:autoSpaceDE w:val="0"/>
        <w:autoSpaceDN w:val="0"/>
        <w:adjustRightInd w:val="0"/>
        <w:spacing w:line="600" w:lineRule="exact"/>
        <w:ind w:firstLine="641"/>
        <w:rPr>
          <w:rFonts w:ascii="仿宋" w:eastAsia="仿宋" w:hAnsi="Times New Roman"/>
          <w:color w:val="000000"/>
          <w:sz w:val="32"/>
          <w:szCs w:val="24"/>
          <w:highlight w:val="white"/>
        </w:rPr>
      </w:pPr>
      <w:r>
        <w:rPr>
          <w:rFonts w:ascii="仿宋" w:eastAsia="仿宋" w:hAnsi="Times New Roman" w:hint="eastAsia"/>
          <w:b/>
          <w:color w:val="000000"/>
          <w:sz w:val="32"/>
          <w:szCs w:val="24"/>
          <w:highlight w:val="white"/>
        </w:rPr>
        <w:t>其他国内公务接待</w:t>
      </w:r>
      <w:r>
        <w:rPr>
          <w:rFonts w:ascii="仿宋" w:eastAsia="仿宋" w:hAnsi="Times New Roman" w:hint="eastAsia"/>
          <w:color w:val="000000"/>
          <w:sz w:val="32"/>
          <w:szCs w:val="24"/>
          <w:highlight w:val="white"/>
        </w:rPr>
        <w:t>支出</w:t>
      </w:r>
      <w:r>
        <w:rPr>
          <w:rFonts w:ascii="仿宋" w:eastAsia="仿宋" w:hAnsi="Times New Roman"/>
          <w:color w:val="000000"/>
          <w:sz w:val="32"/>
          <w:szCs w:val="24"/>
          <w:highlight w:val="white"/>
        </w:rPr>
        <w:t>33.29</w:t>
      </w:r>
      <w:r>
        <w:rPr>
          <w:rFonts w:ascii="仿宋" w:eastAsia="仿宋" w:hAnsi="Times New Roman" w:hint="eastAsia"/>
          <w:color w:val="000000"/>
          <w:sz w:val="32"/>
          <w:szCs w:val="24"/>
          <w:highlight w:val="white"/>
        </w:rPr>
        <w:t>万元，主要用于接待上级部门及兄弟单位和基层单位来县公安局调研指导、联系工作等公务活动接待支出，接待</w:t>
      </w:r>
      <w:r>
        <w:rPr>
          <w:rFonts w:ascii="仿宋" w:eastAsia="仿宋" w:hAnsi="Times New Roman"/>
          <w:color w:val="000000"/>
          <w:sz w:val="32"/>
          <w:szCs w:val="24"/>
          <w:highlight w:val="white"/>
        </w:rPr>
        <w:t>784</w:t>
      </w:r>
      <w:r>
        <w:rPr>
          <w:rFonts w:ascii="仿宋" w:eastAsia="仿宋" w:hAnsi="Times New Roman" w:hint="eastAsia"/>
          <w:color w:val="000000"/>
          <w:sz w:val="32"/>
          <w:szCs w:val="24"/>
          <w:highlight w:val="white"/>
        </w:rPr>
        <w:t>批次，累计</w:t>
      </w:r>
      <w:r>
        <w:rPr>
          <w:rFonts w:ascii="仿宋" w:eastAsia="仿宋" w:hAnsi="Times New Roman"/>
          <w:color w:val="000000"/>
          <w:sz w:val="32"/>
          <w:szCs w:val="24"/>
          <w:highlight w:val="white"/>
        </w:rPr>
        <w:t>6,615</w:t>
      </w:r>
      <w:r>
        <w:rPr>
          <w:rFonts w:ascii="仿宋" w:eastAsia="仿宋" w:hAnsi="Times New Roman" w:hint="eastAsia"/>
          <w:color w:val="000000"/>
          <w:sz w:val="32"/>
          <w:szCs w:val="24"/>
          <w:highlight w:val="white"/>
        </w:rPr>
        <w:t>人次。</w:t>
      </w:r>
    </w:p>
    <w:p w:rsidR="00D95D3B" w:rsidRDefault="00D95D3B">
      <w:pPr>
        <w:autoSpaceDE w:val="0"/>
        <w:autoSpaceDN w:val="0"/>
        <w:adjustRightInd w:val="0"/>
        <w:spacing w:line="600" w:lineRule="exact"/>
        <w:ind w:firstLine="641"/>
        <w:jc w:val="left"/>
        <w:rPr>
          <w:rFonts w:ascii="楷体" w:eastAsia="楷体" w:hAnsi="Times New Roman"/>
          <w:b/>
          <w:color w:val="000000"/>
          <w:sz w:val="32"/>
          <w:szCs w:val="24"/>
          <w:highlight w:val="white"/>
        </w:rPr>
      </w:pPr>
      <w:r>
        <w:rPr>
          <w:rFonts w:ascii="楷体" w:eastAsia="楷体" w:hAnsi="Times New Roman" w:hint="eastAsia"/>
          <w:b/>
          <w:color w:val="000000"/>
          <w:sz w:val="32"/>
          <w:szCs w:val="24"/>
          <w:highlight w:val="white"/>
        </w:rPr>
        <w:t>（十）机关运行经费支出说明</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年度机关运行经费年初预算数为</w:t>
      </w:r>
      <w:r>
        <w:rPr>
          <w:rFonts w:ascii="仿宋" w:eastAsia="仿宋" w:hAnsi="Times New Roman"/>
          <w:color w:val="000000"/>
          <w:sz w:val="32"/>
          <w:szCs w:val="24"/>
          <w:highlight w:val="white"/>
        </w:rPr>
        <w:t>2094.87</w:t>
      </w:r>
      <w:r>
        <w:rPr>
          <w:rFonts w:ascii="仿宋" w:eastAsia="仿宋" w:hAnsi="Times New Roman" w:hint="eastAsia"/>
          <w:color w:val="000000"/>
          <w:sz w:val="32"/>
          <w:szCs w:val="24"/>
          <w:highlight w:val="white"/>
        </w:rPr>
        <w:t>万元，支出决算为</w:t>
      </w:r>
      <w:r>
        <w:rPr>
          <w:rFonts w:ascii="仿宋" w:eastAsia="仿宋" w:hAnsi="Times New Roman"/>
          <w:kern w:val="0"/>
          <w:sz w:val="32"/>
          <w:szCs w:val="24"/>
          <w:highlight w:val="white"/>
        </w:rPr>
        <w:t>2,124.61</w:t>
      </w:r>
      <w:r>
        <w:rPr>
          <w:rFonts w:ascii="仿宋" w:eastAsia="仿宋" w:hAnsi="Times New Roman" w:hint="eastAsia"/>
          <w:color w:val="000000"/>
          <w:sz w:val="32"/>
          <w:szCs w:val="24"/>
          <w:highlight w:val="white"/>
        </w:rPr>
        <w:t>万元，完成年初预算的</w:t>
      </w:r>
      <w:r>
        <w:rPr>
          <w:rFonts w:ascii="仿宋" w:eastAsia="仿宋" w:hAnsi="Times New Roman"/>
          <w:color w:val="000000"/>
          <w:sz w:val="32"/>
          <w:szCs w:val="24"/>
          <w:highlight w:val="white"/>
        </w:rPr>
        <w:t>101.42%</w:t>
      </w:r>
      <w:r>
        <w:rPr>
          <w:rFonts w:ascii="仿宋" w:eastAsia="仿宋" w:hAnsi="Times New Roman" w:hint="eastAsia"/>
          <w:color w:val="000000"/>
          <w:sz w:val="32"/>
          <w:szCs w:val="24"/>
          <w:highlight w:val="white"/>
        </w:rPr>
        <w:t>，决算数大于预算数的主要原因人员增加；比</w:t>
      </w:r>
      <w:r>
        <w:rPr>
          <w:rFonts w:ascii="仿宋" w:eastAsia="仿宋" w:hAnsi="Times New Roman"/>
          <w:color w:val="000000"/>
          <w:sz w:val="32"/>
          <w:szCs w:val="24"/>
          <w:highlight w:val="white"/>
        </w:rPr>
        <w:t>2021</w:t>
      </w:r>
      <w:r>
        <w:rPr>
          <w:rFonts w:ascii="仿宋" w:eastAsia="仿宋" w:hAnsi="Times New Roman" w:hint="eastAsia"/>
          <w:color w:val="000000"/>
          <w:sz w:val="32"/>
          <w:szCs w:val="24"/>
          <w:highlight w:val="white"/>
        </w:rPr>
        <w:t>年度增加</w:t>
      </w:r>
      <w:r>
        <w:rPr>
          <w:rFonts w:ascii="仿宋" w:eastAsia="仿宋" w:hAnsi="Times New Roman"/>
          <w:color w:val="000000"/>
          <w:sz w:val="32"/>
          <w:szCs w:val="24"/>
          <w:highlight w:val="white"/>
        </w:rPr>
        <w:t>12.35</w:t>
      </w:r>
      <w:r>
        <w:rPr>
          <w:rFonts w:ascii="仿宋" w:eastAsia="仿宋" w:hAnsi="Times New Roman" w:hint="eastAsia"/>
          <w:color w:val="000000"/>
          <w:sz w:val="32"/>
          <w:szCs w:val="24"/>
          <w:highlight w:val="white"/>
        </w:rPr>
        <w:t>万元，增长</w:t>
      </w:r>
      <w:r>
        <w:rPr>
          <w:rFonts w:ascii="仿宋" w:eastAsia="仿宋" w:hAnsi="Times New Roman"/>
          <w:color w:val="000000"/>
          <w:sz w:val="32"/>
          <w:szCs w:val="24"/>
          <w:highlight w:val="white"/>
        </w:rPr>
        <w:t>0.59%</w:t>
      </w:r>
      <w:r>
        <w:rPr>
          <w:rFonts w:ascii="仿宋" w:eastAsia="仿宋" w:hAnsi="Times New Roman" w:hint="eastAsia"/>
          <w:color w:val="000000"/>
          <w:sz w:val="32"/>
          <w:szCs w:val="24"/>
          <w:highlight w:val="white"/>
        </w:rPr>
        <w:t>，主要原因是人员增加。</w:t>
      </w:r>
    </w:p>
    <w:p w:rsidR="00D95D3B" w:rsidRDefault="00D95D3B">
      <w:pPr>
        <w:autoSpaceDE w:val="0"/>
        <w:autoSpaceDN w:val="0"/>
        <w:adjustRightInd w:val="0"/>
        <w:spacing w:line="600" w:lineRule="exact"/>
        <w:ind w:firstLine="641"/>
        <w:jc w:val="left"/>
        <w:rPr>
          <w:rFonts w:ascii="楷体" w:eastAsia="楷体" w:hAnsi="Times New Roman"/>
          <w:b/>
          <w:color w:val="000000"/>
          <w:sz w:val="32"/>
          <w:szCs w:val="24"/>
          <w:highlight w:val="white"/>
        </w:rPr>
      </w:pPr>
      <w:r>
        <w:rPr>
          <w:rFonts w:ascii="楷体" w:eastAsia="楷体" w:hAnsi="Times New Roman" w:hint="eastAsia"/>
          <w:b/>
          <w:color w:val="000000"/>
          <w:sz w:val="32"/>
          <w:szCs w:val="24"/>
          <w:highlight w:val="white"/>
        </w:rPr>
        <w:t>（十一）政府采购支出说明</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年度政府采购支出总额</w:t>
      </w:r>
      <w:r>
        <w:rPr>
          <w:rFonts w:ascii="仿宋" w:eastAsia="仿宋" w:hAnsi="Times New Roman"/>
          <w:color w:val="000000"/>
          <w:sz w:val="32"/>
          <w:szCs w:val="24"/>
          <w:highlight w:val="white"/>
        </w:rPr>
        <w:t>2,750.03</w:t>
      </w:r>
      <w:r>
        <w:rPr>
          <w:rFonts w:ascii="仿宋" w:eastAsia="仿宋" w:hAnsi="Times New Roman" w:hint="eastAsia"/>
          <w:color w:val="000000"/>
          <w:sz w:val="32"/>
          <w:szCs w:val="24"/>
          <w:highlight w:val="white"/>
        </w:rPr>
        <w:t>万元，其中：政府采购货物支出</w:t>
      </w:r>
      <w:r>
        <w:rPr>
          <w:rFonts w:ascii="仿宋" w:eastAsia="仿宋" w:hAnsi="Times New Roman"/>
          <w:color w:val="000000"/>
          <w:sz w:val="32"/>
          <w:szCs w:val="24"/>
          <w:highlight w:val="white"/>
        </w:rPr>
        <w:t>422.13</w:t>
      </w:r>
      <w:r>
        <w:rPr>
          <w:rFonts w:ascii="仿宋" w:eastAsia="仿宋" w:hAnsi="Times New Roman" w:hint="eastAsia"/>
          <w:color w:val="000000"/>
          <w:sz w:val="32"/>
          <w:szCs w:val="24"/>
          <w:highlight w:val="white"/>
        </w:rPr>
        <w:t>万元、政府采购工程支出</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万元、政府采购服务支出</w:t>
      </w:r>
      <w:r>
        <w:rPr>
          <w:rFonts w:ascii="仿宋" w:eastAsia="仿宋" w:hAnsi="Times New Roman"/>
          <w:color w:val="000000"/>
          <w:sz w:val="32"/>
          <w:szCs w:val="24"/>
          <w:highlight w:val="white"/>
        </w:rPr>
        <w:t>2,327.9</w:t>
      </w:r>
      <w:r>
        <w:rPr>
          <w:rFonts w:ascii="仿宋" w:eastAsia="仿宋" w:hAnsi="Times New Roman" w:hint="eastAsia"/>
          <w:color w:val="000000"/>
          <w:sz w:val="32"/>
          <w:szCs w:val="24"/>
          <w:highlight w:val="white"/>
        </w:rPr>
        <w:t>万元。授予中小企业合同金额</w:t>
      </w:r>
      <w:r>
        <w:rPr>
          <w:rFonts w:ascii="仿宋" w:eastAsia="仿宋" w:hAnsi="Times New Roman"/>
          <w:color w:val="000000"/>
          <w:sz w:val="32"/>
          <w:szCs w:val="24"/>
          <w:highlight w:val="white"/>
        </w:rPr>
        <w:t>827.24</w:t>
      </w:r>
      <w:r>
        <w:rPr>
          <w:rFonts w:ascii="仿宋" w:eastAsia="仿宋" w:hAnsi="Times New Roman" w:hint="eastAsia"/>
          <w:color w:val="000000"/>
          <w:sz w:val="32"/>
          <w:szCs w:val="24"/>
          <w:highlight w:val="white"/>
        </w:rPr>
        <w:t>万元，占政府采购支出总额的</w:t>
      </w:r>
      <w:r>
        <w:rPr>
          <w:rFonts w:ascii="仿宋" w:eastAsia="仿宋" w:hAnsi="Times New Roman"/>
          <w:color w:val="000000"/>
          <w:sz w:val="32"/>
          <w:szCs w:val="24"/>
          <w:highlight w:val="white"/>
        </w:rPr>
        <w:t>30.08%</w:t>
      </w:r>
      <w:r>
        <w:rPr>
          <w:rFonts w:ascii="仿宋" w:eastAsia="仿宋" w:hAnsi="Times New Roman" w:hint="eastAsia"/>
          <w:color w:val="000000"/>
          <w:sz w:val="32"/>
          <w:szCs w:val="24"/>
          <w:highlight w:val="white"/>
        </w:rPr>
        <w:t>。其中，授予小微企业合同金额</w:t>
      </w:r>
      <w:r>
        <w:rPr>
          <w:rFonts w:ascii="仿宋" w:eastAsia="仿宋" w:hAnsi="Times New Roman"/>
          <w:color w:val="000000"/>
          <w:sz w:val="32"/>
          <w:szCs w:val="24"/>
          <w:highlight w:val="white"/>
        </w:rPr>
        <w:t>827.24</w:t>
      </w:r>
      <w:r>
        <w:rPr>
          <w:rFonts w:ascii="仿宋" w:eastAsia="仿宋" w:hAnsi="Times New Roman" w:hint="eastAsia"/>
          <w:color w:val="000000"/>
          <w:sz w:val="32"/>
          <w:szCs w:val="24"/>
          <w:highlight w:val="white"/>
        </w:rPr>
        <w:t>万元，占授予中小企业合同金额的</w:t>
      </w:r>
      <w:r>
        <w:rPr>
          <w:rFonts w:ascii="仿宋" w:eastAsia="仿宋" w:hAnsi="Times New Roman"/>
          <w:color w:val="000000"/>
          <w:sz w:val="32"/>
          <w:szCs w:val="24"/>
          <w:highlight w:val="white"/>
        </w:rPr>
        <w:t>100%</w:t>
      </w:r>
      <w:r>
        <w:rPr>
          <w:rFonts w:ascii="仿宋" w:eastAsia="仿宋" w:hAnsi="Times New Roman" w:hint="eastAsia"/>
          <w:color w:val="000000"/>
          <w:sz w:val="32"/>
          <w:szCs w:val="24"/>
          <w:highlight w:val="white"/>
        </w:rPr>
        <w:t>；货物采购授予中小企业合同金额占货物支出金额的</w:t>
      </w:r>
      <w:r>
        <w:rPr>
          <w:rFonts w:ascii="仿宋" w:eastAsia="仿宋" w:hAnsi="Times New Roman"/>
          <w:color w:val="000000"/>
          <w:sz w:val="32"/>
          <w:szCs w:val="24"/>
          <w:highlight w:val="white"/>
        </w:rPr>
        <w:t>100%</w:t>
      </w:r>
      <w:r>
        <w:rPr>
          <w:rFonts w:ascii="仿宋" w:eastAsia="仿宋" w:hAnsi="Times New Roman" w:hint="eastAsia"/>
          <w:color w:val="000000"/>
          <w:sz w:val="32"/>
          <w:szCs w:val="24"/>
          <w:highlight w:val="white"/>
        </w:rPr>
        <w:t>，工程采购授予中小企业合</w:t>
      </w:r>
      <w:r>
        <w:rPr>
          <w:rFonts w:ascii="仿宋" w:eastAsia="仿宋" w:hAnsi="Times New Roman" w:hint="eastAsia"/>
          <w:color w:val="000000"/>
          <w:sz w:val="32"/>
          <w:szCs w:val="24"/>
          <w:highlight w:val="white"/>
        </w:rPr>
        <w:lastRenderedPageBreak/>
        <w:t>同金额占工程支出金额的</w:t>
      </w:r>
      <w:r>
        <w:rPr>
          <w:rFonts w:ascii="仿宋" w:eastAsia="仿宋" w:hAnsi="Times New Roman"/>
          <w:color w:val="000000"/>
          <w:sz w:val="32"/>
          <w:szCs w:val="24"/>
          <w:highlight w:val="white"/>
        </w:rPr>
        <w:t>100%</w:t>
      </w:r>
      <w:r>
        <w:rPr>
          <w:rFonts w:ascii="仿宋" w:eastAsia="仿宋" w:hAnsi="Times New Roman" w:hint="eastAsia"/>
          <w:color w:val="000000"/>
          <w:sz w:val="32"/>
          <w:szCs w:val="24"/>
          <w:highlight w:val="white"/>
        </w:rPr>
        <w:t>，服务采购授予中小企业合同金额占服务支出金额的</w:t>
      </w:r>
      <w:r>
        <w:rPr>
          <w:rFonts w:ascii="仿宋" w:eastAsia="仿宋" w:hAnsi="Times New Roman"/>
          <w:color w:val="000000"/>
          <w:sz w:val="32"/>
          <w:szCs w:val="24"/>
          <w:highlight w:val="white"/>
        </w:rPr>
        <w:t>100%</w:t>
      </w:r>
      <w:r>
        <w:rPr>
          <w:rFonts w:ascii="仿宋" w:eastAsia="仿宋" w:hAnsi="Times New Roman" w:hint="eastAsia"/>
          <w:color w:val="000000"/>
          <w:sz w:val="32"/>
          <w:szCs w:val="24"/>
          <w:highlight w:val="white"/>
        </w:rPr>
        <w:t>。</w:t>
      </w:r>
    </w:p>
    <w:p w:rsidR="00D95D3B" w:rsidRDefault="00D95D3B">
      <w:pPr>
        <w:autoSpaceDE w:val="0"/>
        <w:autoSpaceDN w:val="0"/>
        <w:adjustRightInd w:val="0"/>
        <w:spacing w:line="600" w:lineRule="exact"/>
        <w:ind w:firstLine="641"/>
        <w:jc w:val="left"/>
        <w:rPr>
          <w:rFonts w:ascii="楷体" w:eastAsia="楷体" w:hAnsi="Times New Roman"/>
          <w:b/>
          <w:color w:val="000000"/>
          <w:sz w:val="32"/>
          <w:szCs w:val="24"/>
          <w:highlight w:val="white"/>
        </w:rPr>
      </w:pPr>
      <w:r>
        <w:rPr>
          <w:rFonts w:ascii="楷体" w:eastAsia="楷体" w:hAnsi="Times New Roman" w:hint="eastAsia"/>
          <w:b/>
          <w:color w:val="000000"/>
          <w:sz w:val="32"/>
          <w:szCs w:val="24"/>
          <w:highlight w:val="white"/>
        </w:rPr>
        <w:t>（十二）国有资产占有使用情况说明</w:t>
      </w:r>
    </w:p>
    <w:p w:rsidR="00D95D3B" w:rsidRDefault="00D95D3B">
      <w:pPr>
        <w:autoSpaceDE w:val="0"/>
        <w:autoSpaceDN w:val="0"/>
        <w:adjustRightInd w:val="0"/>
        <w:spacing w:line="600" w:lineRule="exact"/>
        <w:ind w:firstLine="594"/>
        <w:rPr>
          <w:rFonts w:ascii="楷体" w:eastAsia="楷体" w:hAnsi="Times New Roman"/>
          <w:b/>
          <w:color w:val="000000"/>
          <w:sz w:val="32"/>
          <w:szCs w:val="24"/>
          <w:highlight w:val="white"/>
        </w:rPr>
      </w:pPr>
      <w:r>
        <w:rPr>
          <w:rFonts w:ascii="仿宋" w:eastAsia="仿宋" w:hAnsi="Times New Roman" w:hint="eastAsia"/>
          <w:color w:val="000000"/>
          <w:sz w:val="32"/>
          <w:szCs w:val="24"/>
          <w:highlight w:val="white"/>
        </w:rPr>
        <w:t>截至</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w:t>
      </w:r>
      <w:r>
        <w:rPr>
          <w:rFonts w:ascii="仿宋" w:eastAsia="仿宋" w:hAnsi="Times New Roman"/>
          <w:color w:val="000000"/>
          <w:sz w:val="32"/>
          <w:szCs w:val="24"/>
          <w:highlight w:val="white"/>
        </w:rPr>
        <w:t>12</w:t>
      </w:r>
      <w:r>
        <w:rPr>
          <w:rFonts w:ascii="仿宋" w:eastAsia="仿宋" w:hAnsi="Times New Roman" w:hint="eastAsia"/>
          <w:color w:val="000000"/>
          <w:sz w:val="32"/>
          <w:szCs w:val="24"/>
          <w:highlight w:val="white"/>
        </w:rPr>
        <w:t>月</w:t>
      </w:r>
      <w:r>
        <w:rPr>
          <w:rFonts w:ascii="仿宋" w:eastAsia="仿宋" w:hAnsi="Times New Roman"/>
          <w:color w:val="000000"/>
          <w:sz w:val="32"/>
          <w:szCs w:val="24"/>
          <w:highlight w:val="white"/>
        </w:rPr>
        <w:t>31</w:t>
      </w:r>
      <w:r>
        <w:rPr>
          <w:rFonts w:ascii="仿宋" w:eastAsia="仿宋" w:hAnsi="Times New Roman" w:hint="eastAsia"/>
          <w:color w:val="000000"/>
          <w:sz w:val="32"/>
          <w:szCs w:val="24"/>
          <w:highlight w:val="white"/>
        </w:rPr>
        <w:t>日，公安局本级及所属各单位共有车辆</w:t>
      </w:r>
      <w:r>
        <w:rPr>
          <w:rFonts w:ascii="仿宋" w:eastAsia="仿宋" w:hAnsi="Times New Roman"/>
          <w:color w:val="000000"/>
          <w:sz w:val="32"/>
          <w:szCs w:val="24"/>
          <w:highlight w:val="white"/>
        </w:rPr>
        <w:t>73</w:t>
      </w:r>
      <w:r>
        <w:rPr>
          <w:rFonts w:ascii="仿宋" w:eastAsia="仿宋" w:hAnsi="Times New Roman" w:hint="eastAsia"/>
          <w:color w:val="000000"/>
          <w:sz w:val="32"/>
          <w:szCs w:val="24"/>
          <w:highlight w:val="white"/>
        </w:rPr>
        <w:t>辆，其中，副部（省）级及以上领导用车</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辆、主要领导干部用车</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辆、机要通信用车</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辆、应急保障用车</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辆、执法执勤用车</w:t>
      </w:r>
      <w:r>
        <w:rPr>
          <w:rFonts w:ascii="仿宋" w:eastAsia="仿宋" w:hAnsi="Times New Roman"/>
          <w:color w:val="000000"/>
          <w:sz w:val="32"/>
          <w:szCs w:val="24"/>
          <w:highlight w:val="white"/>
        </w:rPr>
        <w:t>59</w:t>
      </w:r>
      <w:r>
        <w:rPr>
          <w:rFonts w:ascii="仿宋" w:eastAsia="仿宋" w:hAnsi="Times New Roman" w:hint="eastAsia"/>
          <w:color w:val="000000"/>
          <w:sz w:val="32"/>
          <w:szCs w:val="24"/>
          <w:highlight w:val="white"/>
        </w:rPr>
        <w:t>辆、特种专业技术用车</w:t>
      </w:r>
      <w:r>
        <w:rPr>
          <w:rFonts w:ascii="仿宋" w:eastAsia="仿宋" w:hAnsi="Times New Roman"/>
          <w:color w:val="000000"/>
          <w:sz w:val="32"/>
          <w:szCs w:val="24"/>
          <w:highlight w:val="white"/>
        </w:rPr>
        <w:t>14</w:t>
      </w:r>
      <w:r>
        <w:rPr>
          <w:rFonts w:ascii="仿宋" w:eastAsia="仿宋" w:hAnsi="Times New Roman" w:hint="eastAsia"/>
          <w:color w:val="000000"/>
          <w:sz w:val="32"/>
          <w:szCs w:val="24"/>
          <w:highlight w:val="white"/>
        </w:rPr>
        <w:t>辆、离退休干部用车</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辆、其他用车</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辆；单价</w:t>
      </w:r>
      <w:r>
        <w:rPr>
          <w:rFonts w:ascii="仿宋" w:eastAsia="仿宋" w:hAnsi="Times New Roman"/>
          <w:color w:val="000000"/>
          <w:sz w:val="32"/>
          <w:szCs w:val="24"/>
          <w:highlight w:val="white"/>
        </w:rPr>
        <w:t>100</w:t>
      </w:r>
      <w:r>
        <w:rPr>
          <w:rFonts w:ascii="仿宋" w:eastAsia="仿宋" w:hAnsi="Times New Roman" w:hint="eastAsia"/>
          <w:color w:val="000000"/>
          <w:sz w:val="32"/>
          <w:szCs w:val="24"/>
          <w:highlight w:val="white"/>
        </w:rPr>
        <w:t>万元以上设备（不含车辆）</w:t>
      </w:r>
      <w:r>
        <w:rPr>
          <w:rFonts w:ascii="仿宋" w:eastAsia="仿宋" w:hAnsi="Times New Roman"/>
          <w:color w:val="000000"/>
          <w:sz w:val="32"/>
          <w:szCs w:val="24"/>
          <w:highlight w:val="white"/>
        </w:rPr>
        <w:t>5</w:t>
      </w:r>
      <w:r>
        <w:rPr>
          <w:rFonts w:ascii="仿宋" w:eastAsia="仿宋" w:hAnsi="Times New Roman" w:hint="eastAsia"/>
          <w:color w:val="000000"/>
          <w:sz w:val="32"/>
          <w:szCs w:val="24"/>
          <w:highlight w:val="white"/>
        </w:rPr>
        <w:t>台（套）。</w:t>
      </w:r>
      <w:r>
        <w:rPr>
          <w:rFonts w:ascii="仿宋" w:eastAsia="仿宋" w:hAnsi="Times New Roman"/>
          <w:color w:val="000000"/>
          <w:sz w:val="32"/>
          <w:szCs w:val="24"/>
          <w:highlight w:val="white"/>
        </w:rPr>
        <w:t xml:space="preserve"> </w:t>
      </w:r>
    </w:p>
    <w:p w:rsidR="00D95D3B" w:rsidRDefault="00D95D3B">
      <w:pPr>
        <w:autoSpaceDE w:val="0"/>
        <w:autoSpaceDN w:val="0"/>
        <w:adjustRightInd w:val="0"/>
        <w:spacing w:line="600" w:lineRule="exact"/>
        <w:ind w:firstLine="641"/>
        <w:jc w:val="left"/>
        <w:rPr>
          <w:rFonts w:ascii="楷体" w:eastAsia="楷体" w:hAnsi="Times New Roman"/>
          <w:b/>
          <w:color w:val="000000"/>
          <w:sz w:val="32"/>
          <w:szCs w:val="24"/>
          <w:highlight w:val="white"/>
        </w:rPr>
      </w:pPr>
      <w:r>
        <w:rPr>
          <w:rFonts w:ascii="楷体" w:eastAsia="楷体" w:hAnsi="Times New Roman" w:hint="eastAsia"/>
          <w:b/>
          <w:color w:val="000000"/>
          <w:sz w:val="32"/>
          <w:szCs w:val="24"/>
          <w:highlight w:val="white"/>
        </w:rPr>
        <w:t>（十三）预算绩效情况说明</w:t>
      </w:r>
    </w:p>
    <w:p w:rsidR="00D95D3B" w:rsidRDefault="00D95D3B">
      <w:pPr>
        <w:autoSpaceDE w:val="0"/>
        <w:autoSpaceDN w:val="0"/>
        <w:adjustRightInd w:val="0"/>
        <w:spacing w:line="600" w:lineRule="exact"/>
        <w:ind w:firstLine="594"/>
        <w:rPr>
          <w:rFonts w:ascii="仿宋" w:eastAsia="仿宋" w:hAnsi="Times New Roman"/>
          <w:color w:val="000000"/>
          <w:sz w:val="32"/>
          <w:szCs w:val="24"/>
          <w:highlight w:val="white"/>
        </w:rPr>
      </w:pPr>
      <w:r>
        <w:rPr>
          <w:rFonts w:ascii="仿宋" w:eastAsia="仿宋" w:hAnsi="Times New Roman"/>
          <w:b/>
          <w:color w:val="000000"/>
          <w:sz w:val="32"/>
          <w:szCs w:val="24"/>
          <w:highlight w:val="white"/>
        </w:rPr>
        <w:t>1.</w:t>
      </w:r>
      <w:r>
        <w:rPr>
          <w:rFonts w:ascii="仿宋" w:eastAsia="仿宋" w:hAnsi="Times New Roman" w:hint="eastAsia"/>
          <w:b/>
          <w:color w:val="000000"/>
          <w:sz w:val="32"/>
          <w:szCs w:val="24"/>
          <w:highlight w:val="white"/>
        </w:rPr>
        <w:t>预算绩效管理工作开展情况。</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根据预算绩效管理要求，公安局组织对</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年度一般公共预算项目支出全面开展绩效自评，其中，一级项目</w:t>
      </w:r>
      <w:r>
        <w:rPr>
          <w:rFonts w:ascii="仿宋" w:eastAsia="仿宋" w:hAnsi="Times New Roman"/>
          <w:color w:val="000000"/>
          <w:sz w:val="32"/>
          <w:szCs w:val="24"/>
          <w:highlight w:val="white"/>
        </w:rPr>
        <w:t>2</w:t>
      </w:r>
      <w:r>
        <w:rPr>
          <w:rFonts w:ascii="仿宋" w:eastAsia="仿宋" w:hAnsi="Times New Roman" w:hint="eastAsia"/>
          <w:color w:val="000000"/>
          <w:sz w:val="32"/>
          <w:szCs w:val="24"/>
          <w:highlight w:val="white"/>
        </w:rPr>
        <w:t>个，二级项目</w:t>
      </w:r>
      <w:r>
        <w:rPr>
          <w:rFonts w:ascii="仿宋" w:eastAsia="仿宋" w:hAnsi="Times New Roman"/>
          <w:color w:val="000000"/>
          <w:sz w:val="32"/>
          <w:szCs w:val="24"/>
          <w:highlight w:val="white"/>
        </w:rPr>
        <w:t>13</w:t>
      </w:r>
      <w:r>
        <w:rPr>
          <w:rFonts w:ascii="仿宋" w:eastAsia="仿宋" w:hAnsi="Times New Roman" w:hint="eastAsia"/>
          <w:color w:val="000000"/>
          <w:sz w:val="32"/>
          <w:szCs w:val="24"/>
          <w:highlight w:val="white"/>
        </w:rPr>
        <w:t>个，共涉及资金</w:t>
      </w:r>
      <w:r>
        <w:rPr>
          <w:rFonts w:ascii="仿宋" w:eastAsia="仿宋" w:hAnsi="Times New Roman"/>
          <w:color w:val="000000"/>
          <w:sz w:val="32"/>
          <w:szCs w:val="24"/>
          <w:highlight w:val="white"/>
        </w:rPr>
        <w:t>3060.04</w:t>
      </w:r>
      <w:r>
        <w:rPr>
          <w:rFonts w:ascii="仿宋" w:eastAsia="仿宋" w:hAnsi="Times New Roman" w:hint="eastAsia"/>
          <w:color w:val="000000"/>
          <w:sz w:val="32"/>
          <w:szCs w:val="24"/>
          <w:highlight w:val="white"/>
        </w:rPr>
        <w:t>万元，占一般公共预算项目支出总额的</w:t>
      </w:r>
      <w:r>
        <w:rPr>
          <w:rFonts w:ascii="仿宋" w:eastAsia="仿宋" w:hAnsi="Times New Roman"/>
          <w:color w:val="000000"/>
          <w:sz w:val="32"/>
          <w:szCs w:val="24"/>
          <w:highlight w:val="white"/>
        </w:rPr>
        <w:t>100%</w:t>
      </w:r>
      <w:r>
        <w:rPr>
          <w:rFonts w:ascii="仿宋" w:eastAsia="仿宋" w:hAnsi="Times New Roman" w:hint="eastAsia"/>
          <w:color w:val="000000"/>
          <w:sz w:val="32"/>
          <w:szCs w:val="24"/>
          <w:highlight w:val="white"/>
        </w:rPr>
        <w:t>。</w:t>
      </w:r>
      <w:r>
        <w:rPr>
          <w:rFonts w:ascii="仿宋" w:eastAsia="仿宋" w:hAnsi="Times New Roman" w:hint="eastAsia"/>
          <w:b/>
          <w:color w:val="000000"/>
          <w:sz w:val="32"/>
          <w:szCs w:val="24"/>
          <w:highlight w:val="white"/>
        </w:rPr>
        <w:t>本年无政府性基金预算项目</w:t>
      </w:r>
      <w:r>
        <w:rPr>
          <w:rFonts w:ascii="仿宋" w:eastAsia="仿宋" w:hAnsi="Times New Roman" w:hint="eastAsia"/>
          <w:color w:val="000000"/>
          <w:sz w:val="32"/>
          <w:szCs w:val="24"/>
          <w:highlight w:val="white"/>
        </w:rPr>
        <w:t>，</w:t>
      </w:r>
      <w:r>
        <w:rPr>
          <w:rFonts w:ascii="仿宋" w:eastAsia="仿宋" w:hAnsi="Times New Roman" w:hint="eastAsia"/>
          <w:b/>
          <w:color w:val="000000"/>
          <w:sz w:val="32"/>
          <w:szCs w:val="24"/>
          <w:highlight w:val="white"/>
        </w:rPr>
        <w:t>本年无国有资本经营预算项目</w:t>
      </w:r>
      <w:r>
        <w:rPr>
          <w:rFonts w:ascii="仿宋" w:eastAsia="仿宋" w:hAnsi="Times New Roman" w:hint="eastAsia"/>
          <w:color w:val="000000"/>
          <w:sz w:val="32"/>
          <w:szCs w:val="24"/>
          <w:highlight w:val="white"/>
        </w:rPr>
        <w:t>。</w:t>
      </w:r>
    </w:p>
    <w:p w:rsidR="00D95D3B" w:rsidRDefault="00D95D3B">
      <w:pPr>
        <w:autoSpaceDE w:val="0"/>
        <w:autoSpaceDN w:val="0"/>
        <w:adjustRightInd w:val="0"/>
        <w:spacing w:line="600" w:lineRule="exact"/>
        <w:ind w:firstLine="640"/>
        <w:rPr>
          <w:rFonts w:ascii="仿宋" w:eastAsia="仿宋" w:hAnsi="Times New Roman"/>
          <w:color w:val="000000"/>
          <w:sz w:val="32"/>
          <w:szCs w:val="24"/>
        </w:rPr>
      </w:pPr>
      <w:r>
        <w:rPr>
          <w:rFonts w:ascii="仿宋" w:eastAsia="仿宋" w:hAnsi="Times New Roman" w:hint="eastAsia"/>
          <w:color w:val="000000"/>
          <w:sz w:val="32"/>
          <w:szCs w:val="24"/>
          <w:highlight w:val="white"/>
        </w:rPr>
        <w:t>组织对</w:t>
      </w:r>
      <w:r>
        <w:rPr>
          <w:rFonts w:ascii="Times New Roman" w:eastAsia="仿宋" w:hAnsi="Times New Roman"/>
          <w:color w:val="000000"/>
          <w:sz w:val="32"/>
          <w:szCs w:val="24"/>
          <w:highlight w:val="white"/>
        </w:rPr>
        <w:t>“</w:t>
      </w:r>
      <w:r>
        <w:rPr>
          <w:rFonts w:ascii="仿宋" w:eastAsia="仿宋" w:hAnsi="Times New Roman" w:hint="eastAsia"/>
          <w:color w:val="000000"/>
          <w:sz w:val="32"/>
          <w:szCs w:val="24"/>
          <w:highlight w:val="white"/>
        </w:rPr>
        <w:t>公安基建项目</w:t>
      </w:r>
      <w:r>
        <w:rPr>
          <w:rFonts w:ascii="Times New Roman" w:eastAsia="仿宋" w:hAnsi="Times New Roman"/>
          <w:color w:val="000000"/>
          <w:sz w:val="32"/>
          <w:szCs w:val="24"/>
          <w:highlight w:val="white"/>
        </w:rPr>
        <w:t>”“</w:t>
      </w:r>
      <w:r>
        <w:rPr>
          <w:rFonts w:ascii="仿宋" w:eastAsia="仿宋" w:hAnsi="Times New Roman" w:hint="eastAsia"/>
          <w:color w:val="000000"/>
          <w:sz w:val="32"/>
          <w:szCs w:val="24"/>
          <w:highlight w:val="white"/>
        </w:rPr>
        <w:t>雪亮工程</w:t>
      </w:r>
      <w:r>
        <w:rPr>
          <w:rFonts w:ascii="Times New Roman" w:eastAsia="仿宋" w:hAnsi="Times New Roman"/>
          <w:color w:val="000000"/>
          <w:sz w:val="32"/>
          <w:szCs w:val="24"/>
          <w:highlight w:val="white"/>
        </w:rPr>
        <w:t>”</w:t>
      </w:r>
      <w:r>
        <w:rPr>
          <w:rFonts w:ascii="仿宋" w:eastAsia="仿宋" w:hAnsi="Times New Roman" w:hint="eastAsia"/>
          <w:color w:val="000000"/>
          <w:sz w:val="32"/>
          <w:szCs w:val="24"/>
          <w:highlight w:val="white"/>
        </w:rPr>
        <w:t>等</w:t>
      </w:r>
      <w:r>
        <w:rPr>
          <w:rFonts w:ascii="仿宋" w:eastAsia="仿宋" w:hAnsi="Times New Roman"/>
          <w:color w:val="000000"/>
          <w:sz w:val="32"/>
          <w:szCs w:val="24"/>
          <w:highlight w:val="white"/>
        </w:rPr>
        <w:t>2</w:t>
      </w:r>
      <w:r>
        <w:rPr>
          <w:rFonts w:ascii="仿宋" w:eastAsia="仿宋" w:hAnsi="Times New Roman" w:hint="eastAsia"/>
          <w:color w:val="000000"/>
          <w:sz w:val="32"/>
          <w:szCs w:val="24"/>
          <w:highlight w:val="white"/>
        </w:rPr>
        <w:t>个项目开展了部门评价，涉及一般公共预算支出</w:t>
      </w:r>
      <w:r>
        <w:rPr>
          <w:rFonts w:ascii="仿宋" w:eastAsia="仿宋" w:hAnsi="Times New Roman"/>
          <w:color w:val="000000"/>
          <w:sz w:val="32"/>
          <w:szCs w:val="24"/>
          <w:highlight w:val="white"/>
        </w:rPr>
        <w:t>4900</w:t>
      </w:r>
      <w:r>
        <w:rPr>
          <w:rFonts w:ascii="仿宋" w:eastAsia="仿宋" w:hAnsi="Times New Roman" w:hint="eastAsia"/>
          <w:color w:val="000000"/>
          <w:sz w:val="32"/>
          <w:szCs w:val="24"/>
          <w:highlight w:val="white"/>
        </w:rPr>
        <w:t>万元，政府性基金预算支出</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万元，国有资本经营预算支出</w:t>
      </w:r>
      <w:r>
        <w:rPr>
          <w:rFonts w:ascii="仿宋" w:eastAsia="仿宋" w:hAnsi="Times New Roman"/>
          <w:color w:val="000000"/>
          <w:sz w:val="32"/>
          <w:szCs w:val="24"/>
          <w:highlight w:val="white"/>
        </w:rPr>
        <w:t>0</w:t>
      </w:r>
      <w:r>
        <w:rPr>
          <w:rFonts w:ascii="仿宋" w:eastAsia="仿宋" w:hAnsi="Times New Roman" w:hint="eastAsia"/>
          <w:color w:val="000000"/>
          <w:sz w:val="32"/>
          <w:szCs w:val="24"/>
          <w:highlight w:val="white"/>
        </w:rPr>
        <w:t>万元。</w:t>
      </w:r>
    </w:p>
    <w:p w:rsidR="00D95D3B" w:rsidRDefault="00D95D3B">
      <w:pPr>
        <w:spacing w:line="600" w:lineRule="exact"/>
        <w:ind w:firstLine="623"/>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从评价情况来看，本部门整体目标完成情况如下：一是雪亮工程根据公共安全视频监控系统（雪亮工程）实际建设情况，已建设的视频监控系统按合同五年期（或三年期）按月支付租</w:t>
      </w:r>
      <w:r>
        <w:rPr>
          <w:rFonts w:ascii="仿宋" w:eastAsia="仿宋" w:hAnsi="Times New Roman" w:hint="eastAsia"/>
          <w:color w:val="000000"/>
          <w:sz w:val="32"/>
          <w:szCs w:val="24"/>
          <w:highlight w:val="white"/>
        </w:rPr>
        <w:lastRenderedPageBreak/>
        <w:t>费。其中第三期治安监控系统项目支付到</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w:t>
      </w:r>
      <w:r>
        <w:rPr>
          <w:rFonts w:ascii="仿宋" w:eastAsia="仿宋" w:hAnsi="Times New Roman"/>
          <w:color w:val="000000"/>
          <w:sz w:val="32"/>
          <w:szCs w:val="24"/>
          <w:highlight w:val="white"/>
        </w:rPr>
        <w:t>7</w:t>
      </w:r>
      <w:r>
        <w:rPr>
          <w:rFonts w:ascii="仿宋" w:eastAsia="仿宋" w:hAnsi="Times New Roman" w:hint="eastAsia"/>
          <w:color w:val="000000"/>
          <w:sz w:val="32"/>
          <w:szCs w:val="24"/>
          <w:highlight w:val="white"/>
        </w:rPr>
        <w:t>月，民宗场所二期监控系统项目支付到</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w:t>
      </w:r>
      <w:r>
        <w:rPr>
          <w:rFonts w:ascii="仿宋" w:eastAsia="仿宋" w:hAnsi="Times New Roman"/>
          <w:color w:val="000000"/>
          <w:sz w:val="32"/>
          <w:szCs w:val="24"/>
          <w:highlight w:val="white"/>
        </w:rPr>
        <w:t>6</w:t>
      </w:r>
      <w:r>
        <w:rPr>
          <w:rFonts w:ascii="仿宋" w:eastAsia="仿宋" w:hAnsi="Times New Roman" w:hint="eastAsia"/>
          <w:color w:val="000000"/>
          <w:sz w:val="32"/>
          <w:szCs w:val="24"/>
          <w:highlight w:val="white"/>
        </w:rPr>
        <w:t>月，</w:t>
      </w:r>
      <w:r>
        <w:rPr>
          <w:rFonts w:ascii="仿宋" w:eastAsia="仿宋" w:hAnsi="Times New Roman"/>
          <w:color w:val="000000"/>
          <w:sz w:val="32"/>
          <w:szCs w:val="24"/>
          <w:highlight w:val="white"/>
        </w:rPr>
        <w:t>2017</w:t>
      </w:r>
      <w:r>
        <w:rPr>
          <w:rFonts w:ascii="仿宋" w:eastAsia="仿宋" w:hAnsi="Times New Roman" w:hint="eastAsia"/>
          <w:color w:val="000000"/>
          <w:sz w:val="32"/>
          <w:szCs w:val="24"/>
          <w:highlight w:val="white"/>
        </w:rPr>
        <w:t>社会面视频整合项目支付到</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w:t>
      </w:r>
      <w:r>
        <w:rPr>
          <w:rFonts w:ascii="仿宋" w:eastAsia="仿宋" w:hAnsi="Times New Roman"/>
          <w:color w:val="000000"/>
          <w:sz w:val="32"/>
          <w:szCs w:val="24"/>
          <w:highlight w:val="white"/>
        </w:rPr>
        <w:t>6</w:t>
      </w:r>
      <w:r>
        <w:rPr>
          <w:rFonts w:ascii="仿宋" w:eastAsia="仿宋" w:hAnsi="Times New Roman" w:hint="eastAsia"/>
          <w:color w:val="000000"/>
          <w:sz w:val="32"/>
          <w:szCs w:val="24"/>
          <w:highlight w:val="white"/>
        </w:rPr>
        <w:t>月，第九期监控系统项目支付到</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w:t>
      </w:r>
      <w:r>
        <w:rPr>
          <w:rFonts w:ascii="仿宋" w:eastAsia="仿宋" w:hAnsi="Times New Roman"/>
          <w:color w:val="000000"/>
          <w:sz w:val="32"/>
          <w:szCs w:val="24"/>
          <w:highlight w:val="white"/>
        </w:rPr>
        <w:t>11</w:t>
      </w:r>
      <w:r>
        <w:rPr>
          <w:rFonts w:ascii="仿宋" w:eastAsia="仿宋" w:hAnsi="Times New Roman" w:hint="eastAsia"/>
          <w:color w:val="000000"/>
          <w:sz w:val="32"/>
          <w:szCs w:val="24"/>
          <w:highlight w:val="white"/>
        </w:rPr>
        <w:t>月，其他项目全年支付。升级改造项目在项目建设完成并通过验收后开始按月支付视频监控系统租费，原治安监控六期、八期升级改造项目预计</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w:t>
      </w:r>
      <w:r>
        <w:rPr>
          <w:rFonts w:ascii="仿宋" w:eastAsia="仿宋" w:hAnsi="Times New Roman"/>
          <w:color w:val="000000"/>
          <w:sz w:val="32"/>
          <w:szCs w:val="24"/>
          <w:highlight w:val="white"/>
        </w:rPr>
        <w:t>5</w:t>
      </w:r>
      <w:r>
        <w:rPr>
          <w:rFonts w:ascii="仿宋" w:eastAsia="仿宋" w:hAnsi="Times New Roman" w:hint="eastAsia"/>
          <w:color w:val="000000"/>
          <w:sz w:val="32"/>
          <w:szCs w:val="24"/>
          <w:highlight w:val="white"/>
        </w:rPr>
        <w:t>月开始支付租费，原民宗一期、二期升级改造项目预计</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w:t>
      </w:r>
      <w:r>
        <w:rPr>
          <w:rFonts w:ascii="仿宋" w:eastAsia="仿宋" w:hAnsi="Times New Roman"/>
          <w:color w:val="000000"/>
          <w:sz w:val="32"/>
          <w:szCs w:val="24"/>
          <w:highlight w:val="white"/>
        </w:rPr>
        <w:t>9</w:t>
      </w:r>
      <w:r>
        <w:rPr>
          <w:rFonts w:ascii="仿宋" w:eastAsia="仿宋" w:hAnsi="Times New Roman" w:hint="eastAsia"/>
          <w:color w:val="000000"/>
          <w:sz w:val="32"/>
          <w:szCs w:val="24"/>
          <w:highlight w:val="white"/>
        </w:rPr>
        <w:t>月开始支付租费，原治安监控三期、九期升级改造项目预计</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w:t>
      </w:r>
      <w:r>
        <w:rPr>
          <w:rFonts w:ascii="仿宋" w:eastAsia="仿宋" w:hAnsi="Times New Roman"/>
          <w:color w:val="000000"/>
          <w:sz w:val="32"/>
          <w:szCs w:val="24"/>
          <w:highlight w:val="white"/>
        </w:rPr>
        <w:t>12</w:t>
      </w:r>
      <w:r>
        <w:rPr>
          <w:rFonts w:ascii="仿宋" w:eastAsia="仿宋" w:hAnsi="Times New Roman" w:hint="eastAsia"/>
          <w:color w:val="000000"/>
          <w:sz w:val="32"/>
          <w:szCs w:val="24"/>
          <w:highlight w:val="white"/>
        </w:rPr>
        <w:t>月开始支付租费，社会面整合改造项目预计</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w:t>
      </w:r>
      <w:r>
        <w:rPr>
          <w:rFonts w:ascii="仿宋" w:eastAsia="仿宋" w:hAnsi="Times New Roman"/>
          <w:color w:val="000000"/>
          <w:sz w:val="32"/>
          <w:szCs w:val="24"/>
          <w:highlight w:val="white"/>
        </w:rPr>
        <w:t>9</w:t>
      </w:r>
      <w:r>
        <w:rPr>
          <w:rFonts w:ascii="仿宋" w:eastAsia="仿宋" w:hAnsi="Times New Roman" w:hint="eastAsia"/>
          <w:color w:val="000000"/>
          <w:sz w:val="32"/>
          <w:szCs w:val="24"/>
          <w:highlight w:val="white"/>
        </w:rPr>
        <w:t>月开始支付租费。由于公共视频监控建设必须执行省里“五统一”要求，加上信息化项目需要开展审计、合同安全性审查、招标文件公平竞争性审查等新增加的程序流程，导致视频监控项目的采购流程时间大大延长，影响项目建设进度，相关升级改造项目未能在</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年完成建设，影响当年租费支付的执行率。县财政年初批准我局公共安全视频监控系统租赁费财政预算</w:t>
      </w:r>
      <w:r>
        <w:rPr>
          <w:rFonts w:ascii="仿宋" w:eastAsia="仿宋" w:hAnsi="Times New Roman"/>
          <w:color w:val="000000"/>
          <w:sz w:val="32"/>
          <w:szCs w:val="24"/>
          <w:highlight w:val="white"/>
        </w:rPr>
        <w:t>1900</w:t>
      </w:r>
      <w:r>
        <w:rPr>
          <w:rFonts w:ascii="仿宋" w:eastAsia="仿宋" w:hAnsi="Times New Roman" w:hint="eastAsia"/>
          <w:color w:val="000000"/>
          <w:sz w:val="32"/>
          <w:szCs w:val="24"/>
          <w:highlight w:val="white"/>
        </w:rPr>
        <w:t>万元，截止</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w:t>
      </w:r>
      <w:r>
        <w:rPr>
          <w:rFonts w:ascii="仿宋" w:eastAsia="仿宋" w:hAnsi="Times New Roman"/>
          <w:color w:val="000000"/>
          <w:sz w:val="32"/>
          <w:szCs w:val="24"/>
          <w:highlight w:val="white"/>
        </w:rPr>
        <w:t>12</w:t>
      </w:r>
      <w:r>
        <w:rPr>
          <w:rFonts w:ascii="仿宋" w:eastAsia="仿宋" w:hAnsi="Times New Roman" w:hint="eastAsia"/>
          <w:color w:val="000000"/>
          <w:sz w:val="32"/>
          <w:szCs w:val="24"/>
          <w:highlight w:val="white"/>
        </w:rPr>
        <w:t>月份，实际执行支出</w:t>
      </w:r>
      <w:r>
        <w:rPr>
          <w:rFonts w:ascii="仿宋" w:eastAsia="仿宋" w:hAnsi="Times New Roman"/>
          <w:color w:val="000000"/>
          <w:sz w:val="32"/>
          <w:szCs w:val="24"/>
          <w:highlight w:val="white"/>
        </w:rPr>
        <w:t>1768.125</w:t>
      </w:r>
      <w:r>
        <w:rPr>
          <w:rFonts w:ascii="仿宋" w:eastAsia="仿宋" w:hAnsi="Times New Roman" w:hint="eastAsia"/>
          <w:color w:val="000000"/>
          <w:sz w:val="32"/>
          <w:szCs w:val="24"/>
          <w:highlight w:val="white"/>
        </w:rPr>
        <w:t>万元；二是公安基建工程大源派出所“枫桥式公安派出所”建设工程，为全局“枫桥式公安派出所”创建积累经验；缙云县看守所（拘留所）改造工程，改善了被看押人员的生活条件；缙云县看守所（拘留所）南侧挡土墙坍塌区块抢修工程，保障了缙云县看守所（拘留所）的安全。自评经济性、效率性、有效性均为优。缙云县公安局五云</w:t>
      </w:r>
      <w:r>
        <w:rPr>
          <w:rFonts w:ascii="仿宋" w:eastAsia="仿宋" w:hAnsi="Times New Roman" w:hint="eastAsia"/>
          <w:color w:val="000000"/>
          <w:sz w:val="32"/>
          <w:szCs w:val="24"/>
          <w:highlight w:val="white"/>
        </w:rPr>
        <w:lastRenderedPageBreak/>
        <w:t>刑侦中队搬迁改造工程、综合警务中心建设工程县政府因政策原因暂停导致执行率低。</w:t>
      </w:r>
    </w:p>
    <w:p w:rsidR="00D95D3B" w:rsidRDefault="00D95D3B">
      <w:pPr>
        <w:autoSpaceDE w:val="0"/>
        <w:autoSpaceDN w:val="0"/>
        <w:adjustRightInd w:val="0"/>
        <w:spacing w:line="600" w:lineRule="exact"/>
        <w:ind w:firstLine="640"/>
        <w:rPr>
          <w:rFonts w:ascii="仿宋" w:eastAsia="仿宋" w:hAnsi="Times New Roman"/>
          <w:color w:val="000000"/>
          <w:sz w:val="32"/>
          <w:szCs w:val="24"/>
          <w:highlight w:val="white"/>
        </w:rPr>
      </w:pPr>
      <w:r>
        <w:rPr>
          <w:rFonts w:ascii="仿宋" w:eastAsia="仿宋" w:hAnsi="Times New Roman" w:hint="eastAsia"/>
          <w:b/>
          <w:color w:val="000000"/>
          <w:sz w:val="32"/>
          <w:szCs w:val="24"/>
          <w:highlight w:val="white"/>
        </w:rPr>
        <w:t>本年无下属部门或单位整体支出绩效评价</w:t>
      </w:r>
    </w:p>
    <w:p w:rsidR="00D95D3B" w:rsidRDefault="00D95D3B">
      <w:pPr>
        <w:autoSpaceDE w:val="0"/>
        <w:autoSpaceDN w:val="0"/>
        <w:adjustRightInd w:val="0"/>
        <w:spacing w:line="600" w:lineRule="exact"/>
        <w:ind w:firstLine="640"/>
        <w:rPr>
          <w:rFonts w:ascii="仿宋" w:eastAsia="仿宋" w:hAnsi="仿宋"/>
          <w:noProof/>
          <w:color w:val="000000"/>
          <w:sz w:val="32"/>
          <w:szCs w:val="24"/>
          <w:highlight w:val="white"/>
          <w:lang w:val="en-US" w:eastAsia="zh-CN"/>
        </w:rPr>
      </w:pPr>
      <w:r>
        <w:rPr>
          <w:rFonts w:ascii="仿宋" w:eastAsia="仿宋" w:hAnsi="仿宋" w:hint="eastAsia"/>
          <w:noProof/>
          <w:color w:val="000000"/>
          <w:sz w:val="32"/>
          <w:szCs w:val="24"/>
          <w:highlight w:val="white"/>
          <w:lang w:val="en-US" w:eastAsia="zh-CN"/>
        </w:rPr>
        <w:t>本年无下属部门或单位整体支出绩效评价。</w:t>
      </w:r>
    </w:p>
    <w:p w:rsidR="00D95D3B" w:rsidRDefault="00D95D3B">
      <w:pPr>
        <w:spacing w:line="324" w:lineRule="auto"/>
        <w:ind w:firstLine="594"/>
        <w:rPr>
          <w:rFonts w:ascii="仿宋" w:eastAsia="仿宋" w:hAnsi="仿宋"/>
          <w:color w:val="000000"/>
          <w:sz w:val="32"/>
          <w:szCs w:val="24"/>
          <w:highlight w:val="white"/>
        </w:rPr>
      </w:pPr>
      <w:r>
        <w:rPr>
          <w:rFonts w:ascii="仿宋" w:eastAsia="仿宋" w:hAnsi="仿宋"/>
          <w:b/>
          <w:color w:val="000000"/>
          <w:sz w:val="32"/>
          <w:szCs w:val="24"/>
          <w:highlight w:val="white"/>
        </w:rPr>
        <w:t>2.</w:t>
      </w:r>
      <w:r>
        <w:rPr>
          <w:rFonts w:ascii="仿宋" w:eastAsia="仿宋" w:hAnsi="仿宋" w:hint="eastAsia"/>
          <w:b/>
          <w:color w:val="000000"/>
          <w:sz w:val="32"/>
          <w:szCs w:val="24"/>
          <w:highlight w:val="white"/>
        </w:rPr>
        <w:t>单位决算中项目绩效自评结果</w:t>
      </w:r>
    </w:p>
    <w:p w:rsidR="00D95D3B" w:rsidRDefault="00D95D3B">
      <w:pPr>
        <w:spacing w:line="324" w:lineRule="auto"/>
        <w:ind w:firstLine="594"/>
        <w:rPr>
          <w:rFonts w:ascii="仿宋" w:eastAsia="仿宋" w:hAnsi="仿宋"/>
          <w:color w:val="000000"/>
          <w:sz w:val="32"/>
          <w:szCs w:val="24"/>
          <w:highlight w:val="white"/>
        </w:rPr>
      </w:pPr>
      <w:r>
        <w:rPr>
          <w:rFonts w:ascii="仿宋" w:eastAsia="仿宋" w:hAnsi="Times New Roman" w:hint="eastAsia"/>
          <w:color w:val="000000"/>
          <w:sz w:val="32"/>
          <w:szCs w:val="24"/>
          <w:highlight w:val="white"/>
        </w:rPr>
        <w:t>缙云县公安局随决算公开</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年度本单位项目支出绩效自评结果（详见附件）。其中，公安基建项目和“雪亮工程”项目绩效自评具体情况如下：</w:t>
      </w:r>
    </w:p>
    <w:p w:rsidR="00D95D3B" w:rsidRDefault="00D95D3B">
      <w:pPr>
        <w:spacing w:line="520" w:lineRule="exact"/>
        <w:ind w:firstLineChars="192" w:firstLine="614"/>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公安基建项目绩效自评综述：根据年初设定的绩效目标，项目自评得分</w:t>
      </w:r>
      <w:r>
        <w:rPr>
          <w:rFonts w:ascii="仿宋" w:eastAsia="仿宋" w:hAnsi="Times New Roman"/>
          <w:color w:val="000000"/>
          <w:sz w:val="32"/>
          <w:szCs w:val="24"/>
          <w:highlight w:val="white"/>
        </w:rPr>
        <w:t>100</w:t>
      </w:r>
      <w:r>
        <w:rPr>
          <w:rFonts w:ascii="仿宋" w:eastAsia="仿宋" w:hAnsi="Times New Roman" w:hint="eastAsia"/>
          <w:color w:val="000000"/>
          <w:sz w:val="32"/>
          <w:szCs w:val="24"/>
          <w:highlight w:val="white"/>
        </w:rPr>
        <w:t>分，自评结论为</w:t>
      </w:r>
      <w:r>
        <w:rPr>
          <w:rFonts w:ascii="Times New Roman" w:eastAsia="仿宋" w:hAnsi="Times New Roman"/>
          <w:color w:val="000000"/>
          <w:sz w:val="32"/>
          <w:szCs w:val="24"/>
          <w:highlight w:val="white"/>
        </w:rPr>
        <w:t>“</w:t>
      </w:r>
      <w:r>
        <w:rPr>
          <w:rFonts w:ascii="仿宋" w:eastAsia="仿宋" w:hAnsi="Times New Roman" w:hint="eastAsia"/>
          <w:color w:val="000000"/>
          <w:sz w:val="32"/>
          <w:szCs w:val="24"/>
          <w:highlight w:val="white"/>
        </w:rPr>
        <w:t>优</w:t>
      </w:r>
      <w:r>
        <w:rPr>
          <w:rFonts w:ascii="Times New Roman" w:eastAsia="仿宋" w:hAnsi="Times New Roman"/>
          <w:color w:val="000000"/>
          <w:sz w:val="32"/>
          <w:szCs w:val="24"/>
          <w:highlight w:val="white"/>
        </w:rPr>
        <w:t>”</w:t>
      </w:r>
      <w:r>
        <w:rPr>
          <w:rFonts w:ascii="仿宋" w:eastAsia="仿宋" w:hAnsi="Times New Roman" w:hint="eastAsia"/>
          <w:color w:val="000000"/>
          <w:sz w:val="32"/>
          <w:szCs w:val="24"/>
          <w:highlight w:val="white"/>
        </w:rPr>
        <w:t>。项目全年预算数为</w:t>
      </w:r>
      <w:r>
        <w:rPr>
          <w:rFonts w:ascii="仿宋" w:eastAsia="仿宋" w:hAnsi="Times New Roman"/>
          <w:color w:val="000000"/>
          <w:sz w:val="32"/>
          <w:szCs w:val="24"/>
          <w:highlight w:val="white"/>
        </w:rPr>
        <w:t>3000</w:t>
      </w:r>
      <w:r>
        <w:rPr>
          <w:rFonts w:ascii="仿宋" w:eastAsia="仿宋" w:hAnsi="Times New Roman" w:hint="eastAsia"/>
          <w:color w:val="000000"/>
          <w:sz w:val="32"/>
          <w:szCs w:val="24"/>
          <w:highlight w:val="white"/>
        </w:rPr>
        <w:t>万元，执行数为</w:t>
      </w:r>
      <w:r>
        <w:rPr>
          <w:rFonts w:ascii="仿宋" w:eastAsia="仿宋" w:hAnsi="Times New Roman"/>
          <w:color w:val="000000"/>
          <w:sz w:val="32"/>
          <w:szCs w:val="24"/>
          <w:highlight w:val="white"/>
        </w:rPr>
        <w:t>415.6633</w:t>
      </w:r>
      <w:r>
        <w:rPr>
          <w:rFonts w:ascii="仿宋" w:eastAsia="仿宋" w:hAnsi="Times New Roman" w:hint="eastAsia"/>
          <w:color w:val="000000"/>
          <w:sz w:val="32"/>
          <w:szCs w:val="24"/>
          <w:highlight w:val="white"/>
        </w:rPr>
        <w:t>万元，完成预算的</w:t>
      </w:r>
      <w:r>
        <w:rPr>
          <w:rFonts w:ascii="仿宋" w:eastAsia="仿宋" w:hAnsi="Times New Roman"/>
          <w:color w:val="000000"/>
          <w:sz w:val="32"/>
          <w:szCs w:val="24"/>
          <w:highlight w:val="white"/>
        </w:rPr>
        <w:t>13.86%</w:t>
      </w:r>
      <w:r>
        <w:rPr>
          <w:rFonts w:ascii="仿宋" w:eastAsia="仿宋" w:hAnsi="Times New Roman" w:hint="eastAsia"/>
          <w:color w:val="000000"/>
          <w:sz w:val="32"/>
          <w:szCs w:val="24"/>
          <w:highlight w:val="white"/>
        </w:rPr>
        <w:t>。项目绩效目标完成情况：一是按计划实施了缙云县公安局大源派出所“枫桥式公安派出所”建设工程、缙云县看守所（拘留所）改造工程、缙云县看守所（拘留所）南侧挡土墙坍塌区块抢修工程、缙云县公安局五云刑侦中队搬迁改造工程、综合警务中心建设工程。发现的问题及原因：</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年度公安局基础设施建设得到县财政局的大办支持，</w:t>
      </w:r>
      <w:r>
        <w:rPr>
          <w:rFonts w:ascii="仿宋" w:eastAsia="仿宋" w:hAnsi="Times New Roman"/>
          <w:color w:val="000000"/>
          <w:sz w:val="32"/>
          <w:szCs w:val="24"/>
          <w:highlight w:val="white"/>
        </w:rPr>
        <w:t>2022</w:t>
      </w:r>
      <w:r>
        <w:rPr>
          <w:rFonts w:ascii="仿宋" w:eastAsia="仿宋" w:hAnsi="Times New Roman" w:hint="eastAsia"/>
          <w:color w:val="000000"/>
          <w:sz w:val="32"/>
          <w:szCs w:val="24"/>
          <w:highlight w:val="white"/>
        </w:rPr>
        <w:t>年度财政拨款</w:t>
      </w:r>
      <w:r>
        <w:rPr>
          <w:rFonts w:ascii="仿宋" w:eastAsia="仿宋" w:hAnsi="Times New Roman"/>
          <w:color w:val="000000"/>
          <w:sz w:val="32"/>
          <w:szCs w:val="24"/>
          <w:highlight w:val="white"/>
        </w:rPr>
        <w:t>3000</w:t>
      </w:r>
      <w:r>
        <w:rPr>
          <w:rFonts w:ascii="仿宋" w:eastAsia="仿宋" w:hAnsi="Times New Roman" w:hint="eastAsia"/>
          <w:color w:val="000000"/>
          <w:sz w:val="32"/>
          <w:szCs w:val="24"/>
          <w:highlight w:val="white"/>
        </w:rPr>
        <w:t>万元，实际支出</w:t>
      </w:r>
      <w:r>
        <w:rPr>
          <w:rFonts w:ascii="仿宋" w:eastAsia="仿宋" w:hAnsi="Times New Roman"/>
          <w:color w:val="000000"/>
          <w:sz w:val="32"/>
          <w:szCs w:val="24"/>
          <w:highlight w:val="white"/>
        </w:rPr>
        <w:t>415.6633</w:t>
      </w:r>
      <w:r>
        <w:rPr>
          <w:rFonts w:ascii="仿宋" w:eastAsia="仿宋" w:hAnsi="Times New Roman" w:hint="eastAsia"/>
          <w:color w:val="000000"/>
          <w:sz w:val="32"/>
          <w:szCs w:val="24"/>
          <w:highlight w:val="white"/>
        </w:rPr>
        <w:t>万元。大源派出所“枫桥式公安派出所”建设工程，为全局“枫桥式公安派出所”创建积累经验；缙云县看守所（拘留所）改造工程，改善了被看押人员的生活条件；缙云县看守所（拘留所）南侧挡土墙坍塌区块抢修工程，保障了缙云县看守所（拘留所）的安全。下一步改进措施：无。</w:t>
      </w:r>
    </w:p>
    <w:tbl>
      <w:tblPr>
        <w:tblpPr w:leftFromText="180" w:rightFromText="180" w:vertAnchor="text" w:horzAnchor="page" w:tblpX="1912" w:tblpY="-687"/>
        <w:tblOverlap w:val="never"/>
        <w:tblW w:w="0" w:type="auto"/>
        <w:tblLayout w:type="fixed"/>
        <w:tblCellMar>
          <w:left w:w="0" w:type="dxa"/>
          <w:right w:w="0" w:type="dxa"/>
        </w:tblCellMar>
        <w:tblLook w:val="0000" w:firstRow="0" w:lastRow="0" w:firstColumn="0" w:lastColumn="0" w:noHBand="0" w:noVBand="0"/>
      </w:tblPr>
      <w:tblGrid>
        <w:gridCol w:w="458"/>
        <w:gridCol w:w="492"/>
        <w:gridCol w:w="993"/>
        <w:gridCol w:w="1470"/>
        <w:gridCol w:w="1654"/>
        <w:gridCol w:w="1668"/>
        <w:gridCol w:w="825"/>
        <w:gridCol w:w="600"/>
        <w:gridCol w:w="167"/>
        <w:gridCol w:w="838"/>
      </w:tblGrid>
      <w:tr w:rsidR="00D95D3B">
        <w:trPr>
          <w:trHeight w:val="450"/>
        </w:trPr>
        <w:tc>
          <w:tcPr>
            <w:tcW w:w="9165" w:type="dxa"/>
            <w:gridSpan w:val="10"/>
            <w:tcBorders>
              <w:top w:val="nil"/>
              <w:left w:val="nil"/>
              <w:bottom w:val="nil"/>
              <w:right w:val="nil"/>
            </w:tcBorders>
            <w:shd w:val="clear" w:color="auto" w:fill="FFFFFF"/>
            <w:tcMar>
              <w:top w:w="0" w:type="dxa"/>
              <w:left w:w="105" w:type="dxa"/>
              <w:bottom w:w="0" w:type="dxa"/>
              <w:right w:w="105" w:type="dxa"/>
            </w:tcMar>
            <w:vAlign w:val="center"/>
          </w:tcPr>
          <w:p w:rsidR="00D95D3B" w:rsidRDefault="00D95D3B">
            <w:pPr>
              <w:widowControl/>
              <w:wordWrap w:val="0"/>
              <w:spacing w:line="315" w:lineRule="atLeast"/>
              <w:jc w:val="center"/>
              <w:rPr>
                <w:rFonts w:ascii="微软雅黑" w:eastAsia="微软雅黑" w:hAnsi="微软雅黑"/>
                <w:spacing w:val="7"/>
                <w:kern w:val="0"/>
                <w:sz w:val="28"/>
                <w:szCs w:val="24"/>
              </w:rPr>
            </w:pPr>
            <w:r>
              <w:rPr>
                <w:rFonts w:ascii="宋体" w:hAnsi="宋体" w:cs="宋体" w:hint="eastAsia"/>
                <w:spacing w:val="7"/>
                <w:kern w:val="0"/>
                <w:sz w:val="44"/>
                <w:szCs w:val="24"/>
              </w:rPr>
              <w:lastRenderedPageBreak/>
              <w:t>项目支出绩效自评表</w:t>
            </w:r>
          </w:p>
        </w:tc>
      </w:tr>
      <w:tr w:rsidR="00D95D3B">
        <w:trPr>
          <w:trHeight w:val="504"/>
        </w:trPr>
        <w:tc>
          <w:tcPr>
            <w:tcW w:w="9165" w:type="dxa"/>
            <w:gridSpan w:val="10"/>
            <w:tcBorders>
              <w:top w:val="nil"/>
              <w:left w:val="nil"/>
              <w:bottom w:val="nil"/>
              <w:right w:val="nil"/>
            </w:tcBorders>
            <w:shd w:val="clear" w:color="auto" w:fill="FFFFFF"/>
            <w:tcMar>
              <w:top w:w="0" w:type="dxa"/>
              <w:left w:w="105" w:type="dxa"/>
              <w:bottom w:w="0" w:type="dxa"/>
              <w:right w:w="105" w:type="dxa"/>
            </w:tcMar>
          </w:tcPr>
          <w:p w:rsidR="00D95D3B" w:rsidRDefault="00D95D3B">
            <w:pPr>
              <w:widowControl/>
              <w:wordWrap w:val="0"/>
              <w:spacing w:line="195" w:lineRule="atLeast"/>
              <w:jc w:val="center"/>
              <w:rPr>
                <w:rFonts w:ascii="宋体"/>
                <w:spacing w:val="7"/>
                <w:kern w:val="0"/>
                <w:sz w:val="18"/>
                <w:szCs w:val="24"/>
              </w:rPr>
            </w:pPr>
            <w:r>
              <w:rPr>
                <w:rFonts w:ascii="宋体" w:hAnsi="宋体" w:hint="eastAsia"/>
                <w:spacing w:val="7"/>
                <w:kern w:val="0"/>
                <w:sz w:val="18"/>
                <w:szCs w:val="24"/>
              </w:rPr>
              <w:t>（</w:t>
            </w:r>
            <w:r>
              <w:rPr>
                <w:rFonts w:ascii="宋体" w:hAnsi="宋体"/>
                <w:spacing w:val="7"/>
                <w:kern w:val="0"/>
                <w:sz w:val="18"/>
                <w:szCs w:val="24"/>
              </w:rPr>
              <w:t xml:space="preserve"> 2022</w:t>
            </w:r>
            <w:r>
              <w:rPr>
                <w:rFonts w:ascii="宋体" w:hAnsi="宋体" w:hint="eastAsia"/>
                <w:spacing w:val="7"/>
                <w:kern w:val="0"/>
                <w:sz w:val="18"/>
                <w:szCs w:val="24"/>
              </w:rPr>
              <w:t>年度）</w:t>
            </w:r>
          </w:p>
          <w:p w:rsidR="00D95D3B" w:rsidRDefault="00D95D3B">
            <w:pPr>
              <w:widowControl/>
              <w:wordWrap w:val="0"/>
              <w:spacing w:line="195" w:lineRule="atLeast"/>
              <w:jc w:val="center"/>
              <w:rPr>
                <w:rFonts w:ascii="宋体"/>
                <w:spacing w:val="7"/>
                <w:kern w:val="0"/>
                <w:sz w:val="18"/>
                <w:szCs w:val="24"/>
              </w:rPr>
            </w:pPr>
          </w:p>
        </w:tc>
      </w:tr>
      <w:tr w:rsidR="00D95D3B">
        <w:trPr>
          <w:trHeight w:val="976"/>
        </w:trPr>
        <w:tc>
          <w:tcPr>
            <w:tcW w:w="950"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宋体" w:hAnsi="宋体" w:cs="宋体" w:hint="eastAsia"/>
                <w:spacing w:val="7"/>
                <w:kern w:val="0"/>
                <w:sz w:val="24"/>
                <w:szCs w:val="24"/>
              </w:rPr>
              <w:t>项</w:t>
            </w:r>
            <w:r>
              <w:rPr>
                <w:rFonts w:ascii="MS Mincho" w:eastAsia="MS Mincho" w:hAnsi="MS Mincho" w:cs="MS Mincho" w:hint="eastAsia"/>
                <w:spacing w:val="7"/>
                <w:kern w:val="0"/>
                <w:sz w:val="24"/>
                <w:szCs w:val="24"/>
              </w:rPr>
              <w:t>目名称</w:t>
            </w:r>
          </w:p>
        </w:tc>
        <w:tc>
          <w:tcPr>
            <w:tcW w:w="8215" w:type="dxa"/>
            <w:gridSpan w:val="8"/>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jc w:val="left"/>
              <w:textAlignment w:val="center"/>
              <w:rPr>
                <w:rFonts w:ascii="宋体"/>
                <w:color w:val="000000"/>
                <w:sz w:val="22"/>
                <w:szCs w:val="24"/>
              </w:rPr>
            </w:pPr>
            <w:r>
              <w:rPr>
                <w:rFonts w:ascii="宋体" w:hAnsi="宋体" w:hint="eastAsia"/>
                <w:color w:val="000000"/>
                <w:sz w:val="22"/>
                <w:szCs w:val="24"/>
              </w:rPr>
              <w:t>公安基建项目</w:t>
            </w:r>
          </w:p>
        </w:tc>
      </w:tr>
      <w:tr w:rsidR="00D95D3B">
        <w:trPr>
          <w:trHeight w:val="300"/>
        </w:trPr>
        <w:tc>
          <w:tcPr>
            <w:tcW w:w="950" w:type="dxa"/>
            <w:gridSpan w:val="2"/>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主管部</w:t>
            </w:r>
            <w:r>
              <w:rPr>
                <w:rFonts w:ascii="宋体" w:hAnsi="宋体" w:cs="宋体" w:hint="eastAsia"/>
                <w:spacing w:val="7"/>
                <w:kern w:val="0"/>
                <w:sz w:val="24"/>
                <w:szCs w:val="24"/>
              </w:rPr>
              <w:t>门</w:t>
            </w:r>
          </w:p>
        </w:tc>
        <w:tc>
          <w:tcPr>
            <w:tcW w:w="4117" w:type="dxa"/>
            <w:gridSpan w:val="3"/>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315" w:lineRule="atLeast"/>
              <w:rPr>
                <w:rFonts w:ascii="??_GB2312" w:hAnsi="??_GB2312"/>
                <w:spacing w:val="7"/>
                <w:kern w:val="0"/>
                <w:sz w:val="24"/>
                <w:szCs w:val="24"/>
              </w:rPr>
            </w:pPr>
            <w:r>
              <w:rPr>
                <w:rFonts w:ascii="宋体" w:hAnsi="宋体" w:cs="宋体" w:hint="eastAsia"/>
                <w:spacing w:val="7"/>
                <w:kern w:val="0"/>
                <w:sz w:val="24"/>
                <w:szCs w:val="24"/>
              </w:rPr>
              <w:t>缙</w:t>
            </w:r>
            <w:r>
              <w:rPr>
                <w:rFonts w:ascii="MS Mincho" w:eastAsia="MS Mincho" w:hAnsi="MS Mincho" w:cs="MS Mincho" w:hint="eastAsia"/>
                <w:spacing w:val="7"/>
                <w:kern w:val="0"/>
                <w:sz w:val="24"/>
                <w:szCs w:val="24"/>
              </w:rPr>
              <w:t>云</w:t>
            </w:r>
            <w:r>
              <w:rPr>
                <w:rFonts w:ascii="宋体" w:hAnsi="宋体" w:cs="宋体" w:hint="eastAsia"/>
                <w:spacing w:val="7"/>
                <w:kern w:val="0"/>
                <w:sz w:val="24"/>
                <w:szCs w:val="24"/>
              </w:rPr>
              <w:t>县</w:t>
            </w:r>
            <w:r>
              <w:rPr>
                <w:rFonts w:ascii="MS Mincho" w:eastAsia="MS Mincho" w:hAnsi="MS Mincho" w:cs="MS Mincho" w:hint="eastAsia"/>
                <w:spacing w:val="7"/>
                <w:kern w:val="0"/>
                <w:sz w:val="24"/>
                <w:szCs w:val="24"/>
              </w:rPr>
              <w:t>公安局</w:t>
            </w:r>
          </w:p>
        </w:tc>
        <w:tc>
          <w:tcPr>
            <w:tcW w:w="16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宋体" w:hAnsi="宋体" w:cs="宋体" w:hint="eastAsia"/>
                <w:spacing w:val="7"/>
                <w:kern w:val="0"/>
                <w:sz w:val="24"/>
                <w:szCs w:val="24"/>
              </w:rPr>
              <w:t>实</w:t>
            </w:r>
            <w:r>
              <w:rPr>
                <w:rFonts w:ascii="MS Mincho" w:eastAsia="MS Mincho" w:hAnsi="MS Mincho" w:cs="MS Mincho" w:hint="eastAsia"/>
                <w:spacing w:val="7"/>
                <w:kern w:val="0"/>
                <w:sz w:val="24"/>
                <w:szCs w:val="24"/>
              </w:rPr>
              <w:t>施</w:t>
            </w:r>
            <w:r>
              <w:rPr>
                <w:rFonts w:ascii="宋体" w:hAnsi="宋体" w:cs="宋体" w:hint="eastAsia"/>
                <w:spacing w:val="7"/>
                <w:kern w:val="0"/>
                <w:sz w:val="24"/>
                <w:szCs w:val="24"/>
              </w:rPr>
              <w:t>单</w:t>
            </w:r>
            <w:r>
              <w:rPr>
                <w:rFonts w:ascii="MS Mincho" w:eastAsia="MS Mincho" w:hAnsi="MS Mincho" w:cs="MS Mincho" w:hint="eastAsia"/>
                <w:spacing w:val="7"/>
                <w:kern w:val="0"/>
                <w:sz w:val="24"/>
                <w:szCs w:val="24"/>
              </w:rPr>
              <w:t>位</w:t>
            </w:r>
          </w:p>
        </w:tc>
        <w:tc>
          <w:tcPr>
            <w:tcW w:w="2430" w:type="dxa"/>
            <w:gridSpan w:val="4"/>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rFonts w:ascii="??_GB2312" w:hAnsi="??_GB2312"/>
                <w:spacing w:val="7"/>
                <w:kern w:val="0"/>
                <w:sz w:val="24"/>
                <w:szCs w:val="24"/>
              </w:rPr>
            </w:pPr>
            <w:r>
              <w:rPr>
                <w:rFonts w:ascii="宋体" w:hAnsi="宋体" w:cs="宋体" w:hint="eastAsia"/>
                <w:spacing w:val="7"/>
                <w:kern w:val="0"/>
                <w:sz w:val="24"/>
                <w:szCs w:val="24"/>
              </w:rPr>
              <w:t>缙</w:t>
            </w:r>
            <w:r>
              <w:rPr>
                <w:rFonts w:ascii="MS Mincho" w:eastAsia="MS Mincho" w:hAnsi="MS Mincho" w:cs="MS Mincho" w:hint="eastAsia"/>
                <w:spacing w:val="7"/>
                <w:kern w:val="0"/>
                <w:sz w:val="24"/>
                <w:szCs w:val="24"/>
              </w:rPr>
              <w:t>云</w:t>
            </w:r>
            <w:r>
              <w:rPr>
                <w:rFonts w:ascii="宋体" w:hAnsi="宋体" w:cs="宋体" w:hint="eastAsia"/>
                <w:spacing w:val="7"/>
                <w:kern w:val="0"/>
                <w:sz w:val="24"/>
                <w:szCs w:val="24"/>
              </w:rPr>
              <w:t>县</w:t>
            </w:r>
            <w:r>
              <w:rPr>
                <w:rFonts w:ascii="MS Mincho" w:eastAsia="MS Mincho" w:hAnsi="MS Mincho" w:cs="MS Mincho" w:hint="eastAsia"/>
                <w:spacing w:val="7"/>
                <w:kern w:val="0"/>
                <w:sz w:val="24"/>
                <w:szCs w:val="24"/>
              </w:rPr>
              <w:t>公安局</w:t>
            </w:r>
          </w:p>
        </w:tc>
      </w:tr>
      <w:tr w:rsidR="00D95D3B">
        <w:trPr>
          <w:trHeight w:val="856"/>
        </w:trPr>
        <w:tc>
          <w:tcPr>
            <w:tcW w:w="950" w:type="dxa"/>
            <w:gridSpan w:val="2"/>
            <w:vMerge w:val="restart"/>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宋体" w:hAnsi="宋体" w:cs="宋体" w:hint="eastAsia"/>
                <w:spacing w:val="7"/>
                <w:kern w:val="0"/>
                <w:sz w:val="24"/>
                <w:szCs w:val="24"/>
              </w:rPr>
              <w:t>项</w:t>
            </w:r>
            <w:r>
              <w:rPr>
                <w:rFonts w:ascii="MS Mincho" w:eastAsia="MS Mincho" w:hAnsi="MS Mincho" w:cs="MS Mincho" w:hint="eastAsia"/>
                <w:spacing w:val="7"/>
                <w:kern w:val="0"/>
                <w:sz w:val="24"/>
                <w:szCs w:val="24"/>
              </w:rPr>
              <w:t>目</w:t>
            </w:r>
            <w:r>
              <w:rPr>
                <w:rFonts w:ascii="宋体" w:hAnsi="宋体" w:cs="宋体" w:hint="eastAsia"/>
                <w:spacing w:val="7"/>
                <w:kern w:val="0"/>
                <w:sz w:val="24"/>
                <w:szCs w:val="24"/>
              </w:rPr>
              <w:t>资</w:t>
            </w:r>
            <w:r>
              <w:rPr>
                <w:rFonts w:ascii="MS Mincho" w:eastAsia="MS Mincho" w:hAnsi="MS Mincho" w:cs="MS Mincho" w:hint="eastAsia"/>
                <w:spacing w:val="7"/>
                <w:kern w:val="0"/>
                <w:sz w:val="24"/>
                <w:szCs w:val="24"/>
              </w:rPr>
              <w:t>金（万元）</w:t>
            </w:r>
          </w:p>
        </w:tc>
        <w:tc>
          <w:tcPr>
            <w:tcW w:w="2463"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rFonts w:ascii="??_GB2312" w:hAnsi="??_GB2312"/>
                <w:spacing w:val="7"/>
                <w:kern w:val="0"/>
                <w:sz w:val="24"/>
                <w:szCs w:val="24"/>
              </w:rPr>
            </w:pPr>
          </w:p>
        </w:tc>
        <w:tc>
          <w:tcPr>
            <w:tcW w:w="1654"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年初</w:t>
            </w:r>
            <w:r>
              <w:rPr>
                <w:rFonts w:ascii="宋体" w:hAnsi="宋体" w:cs="宋体" w:hint="eastAsia"/>
                <w:spacing w:val="7"/>
                <w:kern w:val="0"/>
                <w:sz w:val="24"/>
                <w:szCs w:val="24"/>
              </w:rPr>
              <w:t>预</w:t>
            </w:r>
            <w:r>
              <w:rPr>
                <w:rFonts w:ascii="MS Mincho" w:eastAsia="MS Mincho" w:hAnsi="MS Mincho" w:cs="MS Mincho" w:hint="eastAsia"/>
                <w:spacing w:val="7"/>
                <w:kern w:val="0"/>
                <w:sz w:val="24"/>
                <w:szCs w:val="24"/>
              </w:rPr>
              <w:t>算数</w:t>
            </w:r>
          </w:p>
        </w:tc>
        <w:tc>
          <w:tcPr>
            <w:tcW w:w="16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全年</w:t>
            </w:r>
            <w:r>
              <w:rPr>
                <w:rFonts w:ascii="宋体" w:hAnsi="宋体" w:cs="宋体" w:hint="eastAsia"/>
                <w:spacing w:val="7"/>
                <w:kern w:val="0"/>
                <w:sz w:val="24"/>
                <w:szCs w:val="24"/>
              </w:rPr>
              <w:t>预</w:t>
            </w:r>
            <w:r>
              <w:rPr>
                <w:rFonts w:ascii="MS Mincho" w:eastAsia="MS Mincho" w:hAnsi="MS Mincho" w:cs="MS Mincho" w:hint="eastAsia"/>
                <w:spacing w:val="7"/>
                <w:kern w:val="0"/>
                <w:sz w:val="24"/>
                <w:szCs w:val="24"/>
              </w:rPr>
              <w:t>算数</w:t>
            </w:r>
          </w:p>
        </w:tc>
        <w:tc>
          <w:tcPr>
            <w:tcW w:w="1425" w:type="dxa"/>
            <w:gridSpan w:val="2"/>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全年</w:t>
            </w:r>
            <w:r>
              <w:rPr>
                <w:rFonts w:ascii="宋体" w:hAnsi="宋体" w:cs="宋体" w:hint="eastAsia"/>
                <w:spacing w:val="7"/>
                <w:kern w:val="0"/>
                <w:sz w:val="24"/>
                <w:szCs w:val="24"/>
              </w:rPr>
              <w:t>执</w:t>
            </w:r>
            <w:r>
              <w:rPr>
                <w:rFonts w:ascii="MS Mincho" w:eastAsia="MS Mincho" w:hAnsi="MS Mincho" w:cs="MS Mincho" w:hint="eastAsia"/>
                <w:spacing w:val="7"/>
                <w:kern w:val="0"/>
                <w:sz w:val="24"/>
                <w:szCs w:val="24"/>
              </w:rPr>
              <w:t>行数</w:t>
            </w:r>
          </w:p>
        </w:tc>
        <w:tc>
          <w:tcPr>
            <w:tcW w:w="100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宋体" w:hAnsi="宋体" w:cs="宋体" w:hint="eastAsia"/>
                <w:spacing w:val="7"/>
                <w:kern w:val="0"/>
                <w:sz w:val="24"/>
                <w:szCs w:val="24"/>
              </w:rPr>
              <w:t>执</w:t>
            </w:r>
            <w:r>
              <w:rPr>
                <w:rFonts w:ascii="MS Mincho" w:eastAsia="MS Mincho" w:hAnsi="MS Mincho" w:cs="MS Mincho" w:hint="eastAsia"/>
                <w:spacing w:val="7"/>
                <w:kern w:val="0"/>
                <w:sz w:val="24"/>
                <w:szCs w:val="24"/>
              </w:rPr>
              <w:t>行率</w:t>
            </w:r>
          </w:p>
        </w:tc>
      </w:tr>
      <w:tr w:rsidR="00D95D3B">
        <w:trPr>
          <w:trHeight w:val="300"/>
        </w:trPr>
        <w:tc>
          <w:tcPr>
            <w:tcW w:w="950" w:type="dxa"/>
            <w:gridSpan w:val="2"/>
            <w:vMerge/>
            <w:tcBorders>
              <w:top w:val="nil"/>
              <w:left w:val="single" w:sz="6" w:space="0" w:color="auto"/>
              <w:bottom w:val="single" w:sz="6" w:space="0" w:color="auto"/>
              <w:right w:val="single" w:sz="6" w:space="0" w:color="auto"/>
            </w:tcBorders>
            <w:shd w:val="clear" w:color="auto" w:fill="FFFFFF"/>
            <w:vAlign w:val="center"/>
          </w:tcPr>
          <w:p w:rsidR="00D95D3B" w:rsidRDefault="00D95D3B">
            <w:pPr>
              <w:widowControl/>
              <w:jc w:val="left"/>
              <w:rPr>
                <w:rFonts w:ascii="??_GB2312" w:hAnsi="??_GB2312"/>
                <w:spacing w:val="7"/>
                <w:kern w:val="0"/>
                <w:sz w:val="24"/>
                <w:szCs w:val="24"/>
              </w:rPr>
            </w:pPr>
          </w:p>
        </w:tc>
        <w:tc>
          <w:tcPr>
            <w:tcW w:w="2463"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rPr>
                <w:rFonts w:ascii="??_GB2312" w:hAnsi="??_GB2312"/>
                <w:spacing w:val="7"/>
                <w:kern w:val="0"/>
                <w:sz w:val="24"/>
                <w:szCs w:val="24"/>
              </w:rPr>
            </w:pPr>
            <w:r>
              <w:rPr>
                <w:rFonts w:ascii="??_GB2312" w:hAnsi="??_GB2312"/>
                <w:spacing w:val="7"/>
                <w:kern w:val="0"/>
                <w:sz w:val="24"/>
                <w:szCs w:val="24"/>
              </w:rPr>
              <w:t>年度</w:t>
            </w:r>
            <w:r>
              <w:rPr>
                <w:rFonts w:ascii="宋体" w:hAnsi="宋体" w:cs="宋体" w:hint="eastAsia"/>
                <w:spacing w:val="7"/>
                <w:kern w:val="0"/>
                <w:sz w:val="24"/>
                <w:szCs w:val="24"/>
              </w:rPr>
              <w:t>资</w:t>
            </w:r>
            <w:r>
              <w:rPr>
                <w:rFonts w:ascii="MS Mincho" w:eastAsia="MS Mincho" w:hAnsi="MS Mincho" w:cs="MS Mincho" w:hint="eastAsia"/>
                <w:spacing w:val="7"/>
                <w:kern w:val="0"/>
                <w:sz w:val="24"/>
                <w:szCs w:val="24"/>
              </w:rPr>
              <w:t>金</w:t>
            </w:r>
            <w:r>
              <w:rPr>
                <w:rFonts w:ascii="宋体" w:hAnsi="宋体" w:cs="宋体" w:hint="eastAsia"/>
                <w:spacing w:val="7"/>
                <w:kern w:val="0"/>
                <w:sz w:val="24"/>
                <w:szCs w:val="24"/>
              </w:rPr>
              <w:t>总额</w:t>
            </w:r>
          </w:p>
        </w:tc>
        <w:tc>
          <w:tcPr>
            <w:tcW w:w="1654"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24"/>
                <w:szCs w:val="24"/>
              </w:rPr>
            </w:pPr>
            <w:r>
              <w:rPr>
                <w:rFonts w:ascii="??_GB2312" w:hAnsi="??_GB2312"/>
                <w:spacing w:val="7"/>
                <w:kern w:val="0"/>
                <w:sz w:val="24"/>
                <w:szCs w:val="24"/>
              </w:rPr>
              <w:t>3000</w:t>
            </w:r>
          </w:p>
        </w:tc>
        <w:tc>
          <w:tcPr>
            <w:tcW w:w="16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24"/>
                <w:szCs w:val="24"/>
              </w:rPr>
            </w:pPr>
            <w:r>
              <w:rPr>
                <w:rFonts w:ascii="??_GB2312" w:hAnsi="??_GB2312"/>
                <w:spacing w:val="7"/>
                <w:kern w:val="0"/>
                <w:sz w:val="24"/>
                <w:szCs w:val="24"/>
              </w:rPr>
              <w:t>3000</w:t>
            </w:r>
          </w:p>
        </w:tc>
        <w:tc>
          <w:tcPr>
            <w:tcW w:w="142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24"/>
                <w:szCs w:val="24"/>
              </w:rPr>
            </w:pPr>
            <w:r>
              <w:rPr>
                <w:rFonts w:ascii="??_GB2312" w:hAnsi="??_GB2312"/>
                <w:spacing w:val="7"/>
                <w:kern w:val="0"/>
                <w:sz w:val="24"/>
                <w:szCs w:val="24"/>
              </w:rPr>
              <w:t>415.6633</w:t>
            </w:r>
          </w:p>
        </w:tc>
        <w:tc>
          <w:tcPr>
            <w:tcW w:w="100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rFonts w:ascii="??_GB2312" w:hAnsi="??_GB2312"/>
                <w:spacing w:val="7"/>
                <w:kern w:val="0"/>
                <w:sz w:val="24"/>
                <w:szCs w:val="24"/>
              </w:rPr>
            </w:pPr>
            <w:r>
              <w:rPr>
                <w:rFonts w:ascii="??_GB2312" w:hAnsi="??_GB2312"/>
                <w:spacing w:val="7"/>
                <w:kern w:val="0"/>
                <w:sz w:val="24"/>
                <w:szCs w:val="24"/>
              </w:rPr>
              <w:t>13.86%</w:t>
            </w:r>
          </w:p>
        </w:tc>
      </w:tr>
      <w:tr w:rsidR="00D95D3B">
        <w:trPr>
          <w:trHeight w:val="315"/>
        </w:trPr>
        <w:tc>
          <w:tcPr>
            <w:tcW w:w="950" w:type="dxa"/>
            <w:gridSpan w:val="2"/>
            <w:vMerge/>
            <w:tcBorders>
              <w:top w:val="nil"/>
              <w:left w:val="single" w:sz="6" w:space="0" w:color="auto"/>
              <w:bottom w:val="single" w:sz="6" w:space="0" w:color="auto"/>
              <w:right w:val="single" w:sz="6" w:space="0" w:color="auto"/>
            </w:tcBorders>
            <w:shd w:val="clear" w:color="auto" w:fill="FFFFFF"/>
            <w:vAlign w:val="center"/>
          </w:tcPr>
          <w:p w:rsidR="00D95D3B" w:rsidRDefault="00D95D3B">
            <w:pPr>
              <w:widowControl/>
              <w:jc w:val="left"/>
              <w:rPr>
                <w:rFonts w:ascii="??_GB2312" w:hAnsi="??_GB2312"/>
                <w:spacing w:val="7"/>
                <w:kern w:val="0"/>
                <w:sz w:val="24"/>
                <w:szCs w:val="24"/>
              </w:rPr>
            </w:pPr>
          </w:p>
        </w:tc>
        <w:tc>
          <w:tcPr>
            <w:tcW w:w="2463"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其中：当年</w:t>
            </w:r>
            <w:r>
              <w:rPr>
                <w:rFonts w:ascii="宋体" w:hAnsi="宋体" w:cs="宋体" w:hint="eastAsia"/>
                <w:spacing w:val="7"/>
                <w:kern w:val="0"/>
                <w:sz w:val="24"/>
                <w:szCs w:val="24"/>
              </w:rPr>
              <w:t>财</w:t>
            </w:r>
            <w:r>
              <w:rPr>
                <w:rFonts w:ascii="MS Mincho" w:eastAsia="MS Mincho" w:hAnsi="MS Mincho" w:cs="MS Mincho" w:hint="eastAsia"/>
                <w:spacing w:val="7"/>
                <w:kern w:val="0"/>
                <w:sz w:val="24"/>
                <w:szCs w:val="24"/>
              </w:rPr>
              <w:t>政</w:t>
            </w:r>
            <w:r>
              <w:rPr>
                <w:rFonts w:ascii="宋体" w:hAnsi="宋体" w:cs="宋体" w:hint="eastAsia"/>
                <w:spacing w:val="7"/>
                <w:kern w:val="0"/>
                <w:sz w:val="24"/>
                <w:szCs w:val="24"/>
              </w:rPr>
              <w:t>拨</w:t>
            </w:r>
            <w:r>
              <w:rPr>
                <w:rFonts w:ascii="MS Mincho" w:eastAsia="MS Mincho" w:hAnsi="MS Mincho" w:cs="MS Mincho" w:hint="eastAsia"/>
                <w:spacing w:val="7"/>
                <w:kern w:val="0"/>
                <w:sz w:val="24"/>
                <w:szCs w:val="24"/>
              </w:rPr>
              <w:t>款</w:t>
            </w:r>
          </w:p>
        </w:tc>
        <w:tc>
          <w:tcPr>
            <w:tcW w:w="1654"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24"/>
                <w:szCs w:val="24"/>
              </w:rPr>
            </w:pPr>
            <w:r>
              <w:rPr>
                <w:rFonts w:ascii="??_GB2312" w:hAnsi="??_GB2312"/>
                <w:spacing w:val="7"/>
                <w:kern w:val="0"/>
                <w:sz w:val="24"/>
                <w:szCs w:val="24"/>
              </w:rPr>
              <w:t>3000</w:t>
            </w:r>
          </w:p>
        </w:tc>
        <w:tc>
          <w:tcPr>
            <w:tcW w:w="16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24"/>
                <w:szCs w:val="24"/>
              </w:rPr>
            </w:pPr>
            <w:r>
              <w:rPr>
                <w:rFonts w:ascii="??_GB2312" w:hAnsi="??_GB2312"/>
                <w:spacing w:val="7"/>
                <w:kern w:val="0"/>
                <w:sz w:val="24"/>
                <w:szCs w:val="24"/>
              </w:rPr>
              <w:t>3000</w:t>
            </w:r>
          </w:p>
        </w:tc>
        <w:tc>
          <w:tcPr>
            <w:tcW w:w="142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24"/>
                <w:szCs w:val="24"/>
              </w:rPr>
            </w:pPr>
            <w:r>
              <w:rPr>
                <w:rFonts w:ascii="??_GB2312" w:hAnsi="??_GB2312"/>
                <w:spacing w:val="7"/>
                <w:kern w:val="0"/>
                <w:sz w:val="24"/>
                <w:szCs w:val="24"/>
              </w:rPr>
              <w:t>415.6633</w:t>
            </w:r>
          </w:p>
        </w:tc>
        <w:tc>
          <w:tcPr>
            <w:tcW w:w="100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rFonts w:ascii="??_GB2312" w:hAnsi="??_GB2312"/>
                <w:spacing w:val="7"/>
                <w:kern w:val="0"/>
                <w:sz w:val="24"/>
                <w:szCs w:val="24"/>
              </w:rPr>
            </w:pPr>
            <w:r>
              <w:rPr>
                <w:rFonts w:ascii="??_GB2312" w:hAnsi="??_GB2312"/>
                <w:spacing w:val="7"/>
                <w:kern w:val="0"/>
                <w:sz w:val="24"/>
                <w:szCs w:val="24"/>
              </w:rPr>
              <w:t>13.86%</w:t>
            </w:r>
          </w:p>
        </w:tc>
      </w:tr>
      <w:tr w:rsidR="00D95D3B">
        <w:trPr>
          <w:trHeight w:val="300"/>
        </w:trPr>
        <w:tc>
          <w:tcPr>
            <w:tcW w:w="950" w:type="dxa"/>
            <w:gridSpan w:val="2"/>
            <w:vMerge/>
            <w:tcBorders>
              <w:top w:val="nil"/>
              <w:left w:val="single" w:sz="6" w:space="0" w:color="auto"/>
              <w:bottom w:val="single" w:sz="6" w:space="0" w:color="auto"/>
              <w:right w:val="single" w:sz="6" w:space="0" w:color="auto"/>
            </w:tcBorders>
            <w:shd w:val="clear" w:color="auto" w:fill="FFFFFF"/>
            <w:vAlign w:val="center"/>
          </w:tcPr>
          <w:p w:rsidR="00D95D3B" w:rsidRDefault="00D95D3B">
            <w:pPr>
              <w:widowControl/>
              <w:jc w:val="left"/>
              <w:rPr>
                <w:rFonts w:ascii="??_GB2312" w:hAnsi="??_GB2312"/>
                <w:spacing w:val="7"/>
                <w:kern w:val="0"/>
                <w:sz w:val="24"/>
                <w:szCs w:val="24"/>
              </w:rPr>
            </w:pPr>
          </w:p>
        </w:tc>
        <w:tc>
          <w:tcPr>
            <w:tcW w:w="2463"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上年</w:t>
            </w:r>
            <w:r>
              <w:rPr>
                <w:rFonts w:ascii="宋体" w:hAnsi="宋体" w:cs="宋体" w:hint="eastAsia"/>
                <w:spacing w:val="7"/>
                <w:kern w:val="0"/>
                <w:sz w:val="24"/>
                <w:szCs w:val="24"/>
              </w:rPr>
              <w:t>结转资</w:t>
            </w:r>
            <w:r>
              <w:rPr>
                <w:rFonts w:ascii="MS Mincho" w:eastAsia="MS Mincho" w:hAnsi="MS Mincho" w:cs="MS Mincho" w:hint="eastAsia"/>
                <w:spacing w:val="7"/>
                <w:kern w:val="0"/>
                <w:sz w:val="24"/>
                <w:szCs w:val="24"/>
              </w:rPr>
              <w:t>金</w:t>
            </w:r>
          </w:p>
        </w:tc>
        <w:tc>
          <w:tcPr>
            <w:tcW w:w="1654"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rFonts w:ascii="??_GB2312" w:hAnsi="??_GB2312"/>
                <w:spacing w:val="7"/>
                <w:kern w:val="0"/>
                <w:sz w:val="24"/>
                <w:szCs w:val="24"/>
              </w:rPr>
            </w:pPr>
          </w:p>
        </w:tc>
        <w:tc>
          <w:tcPr>
            <w:tcW w:w="16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rFonts w:ascii="??_GB2312" w:hAnsi="??_GB2312"/>
                <w:spacing w:val="7"/>
                <w:kern w:val="0"/>
                <w:sz w:val="24"/>
                <w:szCs w:val="24"/>
              </w:rPr>
            </w:pPr>
          </w:p>
        </w:tc>
        <w:tc>
          <w:tcPr>
            <w:tcW w:w="142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rFonts w:ascii="??_GB2312" w:hAnsi="??_GB2312"/>
                <w:spacing w:val="7"/>
                <w:kern w:val="0"/>
                <w:sz w:val="24"/>
                <w:szCs w:val="24"/>
              </w:rPr>
            </w:pPr>
          </w:p>
        </w:tc>
        <w:tc>
          <w:tcPr>
            <w:tcW w:w="100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p>
        </w:tc>
      </w:tr>
      <w:tr w:rsidR="00D95D3B">
        <w:trPr>
          <w:trHeight w:val="300"/>
        </w:trPr>
        <w:tc>
          <w:tcPr>
            <w:tcW w:w="950" w:type="dxa"/>
            <w:gridSpan w:val="2"/>
            <w:vMerge/>
            <w:tcBorders>
              <w:top w:val="nil"/>
              <w:left w:val="single" w:sz="6" w:space="0" w:color="auto"/>
              <w:bottom w:val="single" w:sz="6" w:space="0" w:color="auto"/>
              <w:right w:val="single" w:sz="6" w:space="0" w:color="auto"/>
            </w:tcBorders>
            <w:shd w:val="clear" w:color="auto" w:fill="FFFFFF"/>
            <w:vAlign w:val="center"/>
          </w:tcPr>
          <w:p w:rsidR="00D95D3B" w:rsidRDefault="00D95D3B">
            <w:pPr>
              <w:widowControl/>
              <w:jc w:val="left"/>
              <w:rPr>
                <w:rFonts w:ascii="??_GB2312" w:hAnsi="??_GB2312"/>
                <w:spacing w:val="7"/>
                <w:kern w:val="0"/>
                <w:sz w:val="24"/>
                <w:szCs w:val="24"/>
              </w:rPr>
            </w:pPr>
          </w:p>
        </w:tc>
        <w:tc>
          <w:tcPr>
            <w:tcW w:w="2463"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其他</w:t>
            </w:r>
            <w:r>
              <w:rPr>
                <w:rFonts w:ascii="宋体" w:hAnsi="宋体" w:cs="宋体" w:hint="eastAsia"/>
                <w:spacing w:val="7"/>
                <w:kern w:val="0"/>
                <w:sz w:val="24"/>
                <w:szCs w:val="24"/>
              </w:rPr>
              <w:t>资</w:t>
            </w:r>
            <w:r>
              <w:rPr>
                <w:rFonts w:ascii="MS Mincho" w:eastAsia="MS Mincho" w:hAnsi="MS Mincho" w:cs="MS Mincho" w:hint="eastAsia"/>
                <w:spacing w:val="7"/>
                <w:kern w:val="0"/>
                <w:sz w:val="24"/>
                <w:szCs w:val="24"/>
              </w:rPr>
              <w:t>金</w:t>
            </w:r>
          </w:p>
        </w:tc>
        <w:tc>
          <w:tcPr>
            <w:tcW w:w="1654"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rFonts w:ascii="??_GB2312" w:hAnsi="??_GB2312"/>
                <w:spacing w:val="7"/>
                <w:kern w:val="0"/>
                <w:sz w:val="24"/>
                <w:szCs w:val="24"/>
              </w:rPr>
            </w:pPr>
          </w:p>
        </w:tc>
        <w:tc>
          <w:tcPr>
            <w:tcW w:w="16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rFonts w:ascii="??_GB2312" w:hAnsi="??_GB2312"/>
                <w:spacing w:val="7"/>
                <w:kern w:val="0"/>
                <w:sz w:val="24"/>
                <w:szCs w:val="24"/>
              </w:rPr>
            </w:pPr>
          </w:p>
        </w:tc>
        <w:tc>
          <w:tcPr>
            <w:tcW w:w="142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rFonts w:ascii="??_GB2312" w:hAnsi="??_GB2312"/>
                <w:spacing w:val="7"/>
                <w:kern w:val="0"/>
                <w:sz w:val="24"/>
                <w:szCs w:val="24"/>
              </w:rPr>
            </w:pPr>
          </w:p>
        </w:tc>
        <w:tc>
          <w:tcPr>
            <w:tcW w:w="100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p>
        </w:tc>
      </w:tr>
      <w:tr w:rsidR="00D95D3B">
        <w:trPr>
          <w:trHeight w:val="396"/>
        </w:trPr>
        <w:tc>
          <w:tcPr>
            <w:tcW w:w="950" w:type="dxa"/>
            <w:gridSpan w:val="2"/>
            <w:vMerge w:val="restart"/>
            <w:tcBorders>
              <w:top w:val="nil"/>
              <w:left w:val="single" w:sz="6" w:space="0" w:color="auto"/>
              <w:bottom w:val="nil"/>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年度</w:t>
            </w:r>
            <w:r>
              <w:rPr>
                <w:rFonts w:ascii="宋体" w:hAnsi="宋体" w:cs="宋体" w:hint="eastAsia"/>
                <w:spacing w:val="7"/>
                <w:kern w:val="0"/>
                <w:sz w:val="24"/>
                <w:szCs w:val="24"/>
              </w:rPr>
              <w:t>总</w:t>
            </w:r>
            <w:r>
              <w:rPr>
                <w:rFonts w:ascii="MS Mincho" w:eastAsia="MS Mincho" w:hAnsi="MS Mincho" w:cs="MS Mincho" w:hint="eastAsia"/>
                <w:spacing w:val="7"/>
                <w:kern w:val="0"/>
                <w:sz w:val="24"/>
                <w:szCs w:val="24"/>
              </w:rPr>
              <w:t>体目</w:t>
            </w:r>
            <w:r>
              <w:rPr>
                <w:rFonts w:ascii="宋体" w:hAnsi="宋体" w:cs="宋体" w:hint="eastAsia"/>
                <w:spacing w:val="7"/>
                <w:kern w:val="0"/>
                <w:sz w:val="24"/>
                <w:szCs w:val="24"/>
              </w:rPr>
              <w:t>标</w:t>
            </w:r>
          </w:p>
        </w:tc>
        <w:tc>
          <w:tcPr>
            <w:tcW w:w="4117" w:type="dxa"/>
            <w:gridSpan w:val="3"/>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宋体" w:hAnsi="宋体" w:cs="宋体" w:hint="eastAsia"/>
                <w:spacing w:val="7"/>
                <w:kern w:val="0"/>
                <w:sz w:val="24"/>
                <w:szCs w:val="24"/>
              </w:rPr>
              <w:t>预</w:t>
            </w:r>
            <w:r>
              <w:rPr>
                <w:rFonts w:ascii="MS Mincho" w:eastAsia="MS Mincho" w:hAnsi="MS Mincho" w:cs="MS Mincho" w:hint="eastAsia"/>
                <w:spacing w:val="7"/>
                <w:kern w:val="0"/>
                <w:sz w:val="24"/>
                <w:szCs w:val="24"/>
              </w:rPr>
              <w:t>期目</w:t>
            </w:r>
            <w:r>
              <w:rPr>
                <w:rFonts w:ascii="宋体" w:hAnsi="宋体" w:cs="宋体" w:hint="eastAsia"/>
                <w:spacing w:val="7"/>
                <w:kern w:val="0"/>
                <w:sz w:val="24"/>
                <w:szCs w:val="24"/>
              </w:rPr>
              <w:t>标</w:t>
            </w:r>
          </w:p>
        </w:tc>
        <w:tc>
          <w:tcPr>
            <w:tcW w:w="4098" w:type="dxa"/>
            <w:gridSpan w:val="5"/>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宋体" w:hAnsi="宋体" w:cs="宋体" w:hint="eastAsia"/>
                <w:spacing w:val="7"/>
                <w:kern w:val="0"/>
                <w:sz w:val="24"/>
                <w:szCs w:val="24"/>
              </w:rPr>
              <w:t>实际</w:t>
            </w:r>
            <w:r>
              <w:rPr>
                <w:rFonts w:ascii="MS Mincho" w:eastAsia="MS Mincho" w:hAnsi="MS Mincho" w:cs="MS Mincho" w:hint="eastAsia"/>
                <w:spacing w:val="7"/>
                <w:kern w:val="0"/>
                <w:sz w:val="24"/>
                <w:szCs w:val="24"/>
              </w:rPr>
              <w:t>完成情况</w:t>
            </w:r>
          </w:p>
        </w:tc>
      </w:tr>
      <w:tr w:rsidR="00D95D3B">
        <w:trPr>
          <w:trHeight w:val="3659"/>
        </w:trPr>
        <w:tc>
          <w:tcPr>
            <w:tcW w:w="950" w:type="dxa"/>
            <w:gridSpan w:val="2"/>
            <w:vMerge/>
            <w:tcBorders>
              <w:top w:val="nil"/>
              <w:left w:val="single" w:sz="6" w:space="0" w:color="auto"/>
              <w:bottom w:val="single" w:sz="6" w:space="0" w:color="auto"/>
              <w:right w:val="single" w:sz="6" w:space="0" w:color="auto"/>
            </w:tcBorders>
            <w:shd w:val="clear" w:color="auto" w:fill="FFFFFF"/>
            <w:vAlign w:val="center"/>
          </w:tcPr>
          <w:p w:rsidR="00D95D3B" w:rsidRDefault="00D95D3B">
            <w:pPr>
              <w:widowControl/>
              <w:jc w:val="left"/>
              <w:rPr>
                <w:rFonts w:ascii="??_GB2312" w:hAnsi="??_GB2312"/>
                <w:spacing w:val="7"/>
                <w:kern w:val="0"/>
                <w:sz w:val="24"/>
                <w:szCs w:val="24"/>
              </w:rPr>
            </w:pPr>
          </w:p>
        </w:tc>
        <w:tc>
          <w:tcPr>
            <w:tcW w:w="4117" w:type="dxa"/>
            <w:gridSpan w:val="3"/>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通</w:t>
            </w:r>
            <w:r>
              <w:rPr>
                <w:rFonts w:ascii="宋体" w:hAnsi="宋体" w:cs="宋体" w:hint="eastAsia"/>
                <w:spacing w:val="7"/>
                <w:kern w:val="0"/>
                <w:sz w:val="24"/>
                <w:szCs w:val="24"/>
              </w:rPr>
              <w:t>过</w:t>
            </w:r>
            <w:r>
              <w:rPr>
                <w:rFonts w:ascii="MS Mincho" w:eastAsia="MS Mincho" w:hAnsi="MS Mincho" w:cs="MS Mincho" w:hint="eastAsia"/>
                <w:spacing w:val="7"/>
                <w:kern w:val="0"/>
                <w:sz w:val="24"/>
                <w:szCs w:val="24"/>
              </w:rPr>
              <w:t>建</w:t>
            </w:r>
            <w:r>
              <w:rPr>
                <w:rFonts w:ascii="宋体" w:hAnsi="宋体" w:cs="宋体" w:hint="eastAsia"/>
                <w:spacing w:val="7"/>
                <w:kern w:val="0"/>
                <w:sz w:val="24"/>
                <w:szCs w:val="24"/>
              </w:rPr>
              <w:t>设</w:t>
            </w:r>
            <w:r>
              <w:rPr>
                <w:rFonts w:ascii="MS Mincho" w:eastAsia="MS Mincho" w:hAnsi="MS Mincho" w:cs="MS Mincho" w:hint="eastAsia"/>
                <w:spacing w:val="7"/>
                <w:kern w:val="0"/>
                <w:sz w:val="24"/>
                <w:szCs w:val="24"/>
              </w:rPr>
              <w:t>，</w:t>
            </w:r>
            <w:r>
              <w:rPr>
                <w:rFonts w:ascii="宋体" w:hAnsi="宋体" w:cs="宋体" w:hint="eastAsia"/>
                <w:spacing w:val="7"/>
                <w:kern w:val="0"/>
                <w:sz w:val="24"/>
                <w:szCs w:val="24"/>
              </w:rPr>
              <w:t>进</w:t>
            </w:r>
            <w:r>
              <w:rPr>
                <w:rFonts w:ascii="MS Mincho" w:eastAsia="MS Mincho" w:hAnsi="MS Mincho" w:cs="MS Mincho" w:hint="eastAsia"/>
                <w:spacing w:val="7"/>
                <w:kern w:val="0"/>
                <w:sz w:val="24"/>
                <w:szCs w:val="24"/>
              </w:rPr>
              <w:t>一步提升所</w:t>
            </w:r>
            <w:r>
              <w:rPr>
                <w:rFonts w:ascii="宋体" w:hAnsi="宋体" w:cs="宋体" w:hint="eastAsia"/>
                <w:spacing w:val="7"/>
                <w:kern w:val="0"/>
                <w:sz w:val="24"/>
                <w:szCs w:val="24"/>
              </w:rPr>
              <w:t>队</w:t>
            </w:r>
            <w:r>
              <w:rPr>
                <w:rFonts w:ascii="MS Mincho" w:eastAsia="MS Mincho" w:hAnsi="MS Mincho" w:cs="MS Mincho" w:hint="eastAsia"/>
                <w:spacing w:val="7"/>
                <w:kern w:val="0"/>
                <w:sz w:val="24"/>
                <w:szCs w:val="24"/>
              </w:rPr>
              <w:t>警</w:t>
            </w:r>
            <w:r>
              <w:rPr>
                <w:rFonts w:ascii="宋体" w:hAnsi="宋体" w:cs="宋体" w:hint="eastAsia"/>
                <w:spacing w:val="7"/>
                <w:kern w:val="0"/>
                <w:sz w:val="24"/>
                <w:szCs w:val="24"/>
              </w:rPr>
              <w:t>务</w:t>
            </w:r>
            <w:r>
              <w:rPr>
                <w:rFonts w:ascii="MS Mincho" w:eastAsia="MS Mincho" w:hAnsi="MS Mincho" w:cs="MS Mincho" w:hint="eastAsia"/>
                <w:spacing w:val="7"/>
                <w:kern w:val="0"/>
                <w:sz w:val="24"/>
                <w:szCs w:val="24"/>
              </w:rPr>
              <w:t>水平，完善基</w:t>
            </w:r>
            <w:r>
              <w:rPr>
                <w:rFonts w:ascii="宋体" w:hAnsi="宋体" w:cs="宋体" w:hint="eastAsia"/>
                <w:spacing w:val="7"/>
                <w:kern w:val="0"/>
                <w:sz w:val="24"/>
                <w:szCs w:val="24"/>
              </w:rPr>
              <w:t>础设</w:t>
            </w:r>
            <w:r>
              <w:rPr>
                <w:rFonts w:ascii="MS Mincho" w:eastAsia="MS Mincho" w:hAnsi="MS Mincho" w:cs="MS Mincho" w:hint="eastAsia"/>
                <w:spacing w:val="7"/>
                <w:kern w:val="0"/>
                <w:sz w:val="24"/>
                <w:szCs w:val="24"/>
              </w:rPr>
              <w:t>施</w:t>
            </w:r>
          </w:p>
        </w:tc>
        <w:tc>
          <w:tcPr>
            <w:tcW w:w="4098" w:type="dxa"/>
            <w:gridSpan w:val="5"/>
            <w:tcBorders>
              <w:top w:val="nil"/>
              <w:left w:val="nil"/>
              <w:bottom w:val="single" w:sz="6" w:space="0" w:color="auto"/>
              <w:right w:val="single" w:sz="6" w:space="0" w:color="auto"/>
            </w:tcBorders>
            <w:shd w:val="clear" w:color="auto" w:fill="FFFFFF"/>
            <w:tcMar>
              <w:top w:w="0" w:type="dxa"/>
              <w:left w:w="105" w:type="dxa"/>
              <w:bottom w:w="0" w:type="dxa"/>
              <w:right w:w="105" w:type="dxa"/>
            </w:tcMar>
          </w:tcPr>
          <w:p w:rsidR="00D95D3B" w:rsidRDefault="00D95D3B">
            <w:pPr>
              <w:widowControl/>
              <w:wordWrap w:val="0"/>
              <w:spacing w:line="240" w:lineRule="atLeast"/>
              <w:jc w:val="center"/>
              <w:rPr>
                <w:rFonts w:ascii="??_GB2312" w:hAnsi="??_GB2312"/>
                <w:spacing w:val="7"/>
                <w:kern w:val="0"/>
                <w:szCs w:val="24"/>
              </w:rPr>
            </w:pPr>
            <w:r>
              <w:rPr>
                <w:rFonts w:ascii="??_GB2312" w:hAnsi="??_GB2312"/>
                <w:spacing w:val="7"/>
                <w:kern w:val="0"/>
                <w:szCs w:val="24"/>
              </w:rPr>
              <w:t>按</w:t>
            </w:r>
            <w:r>
              <w:rPr>
                <w:rFonts w:ascii="宋体" w:hAnsi="宋体" w:cs="宋体" w:hint="eastAsia"/>
                <w:spacing w:val="7"/>
                <w:kern w:val="0"/>
                <w:szCs w:val="24"/>
              </w:rPr>
              <w:t>计</w:t>
            </w:r>
            <w:r>
              <w:rPr>
                <w:rFonts w:ascii="MS Mincho" w:eastAsia="MS Mincho" w:hAnsi="MS Mincho" w:cs="MS Mincho" w:hint="eastAsia"/>
                <w:spacing w:val="7"/>
                <w:kern w:val="0"/>
                <w:szCs w:val="24"/>
              </w:rPr>
              <w:t>划</w:t>
            </w:r>
            <w:r>
              <w:rPr>
                <w:rFonts w:ascii="宋体" w:hAnsi="宋体" w:cs="宋体" w:hint="eastAsia"/>
                <w:spacing w:val="7"/>
                <w:kern w:val="0"/>
                <w:szCs w:val="24"/>
              </w:rPr>
              <w:t>实</w:t>
            </w:r>
            <w:r>
              <w:rPr>
                <w:rFonts w:ascii="MS Mincho" w:eastAsia="MS Mincho" w:hAnsi="MS Mincho" w:cs="MS Mincho" w:hint="eastAsia"/>
                <w:spacing w:val="7"/>
                <w:kern w:val="0"/>
                <w:szCs w:val="24"/>
              </w:rPr>
              <w:t>施了</w:t>
            </w:r>
            <w:r>
              <w:rPr>
                <w:rFonts w:ascii="宋体" w:hAnsi="宋体" w:cs="宋体" w:hint="eastAsia"/>
                <w:spacing w:val="7"/>
                <w:kern w:val="0"/>
                <w:szCs w:val="24"/>
              </w:rPr>
              <w:t>缙</w:t>
            </w:r>
            <w:r>
              <w:rPr>
                <w:rFonts w:ascii="MS Mincho" w:eastAsia="MS Mincho" w:hAnsi="MS Mincho" w:cs="MS Mincho" w:hint="eastAsia"/>
                <w:spacing w:val="7"/>
                <w:kern w:val="0"/>
                <w:szCs w:val="24"/>
              </w:rPr>
              <w:t>云</w:t>
            </w:r>
            <w:r>
              <w:rPr>
                <w:rFonts w:ascii="宋体" w:hAnsi="宋体" w:cs="宋体" w:hint="eastAsia"/>
                <w:spacing w:val="7"/>
                <w:kern w:val="0"/>
                <w:szCs w:val="24"/>
              </w:rPr>
              <w:t>县</w:t>
            </w:r>
            <w:r>
              <w:rPr>
                <w:rFonts w:ascii="MS Mincho" w:eastAsia="MS Mincho" w:hAnsi="MS Mincho" w:cs="MS Mincho" w:hint="eastAsia"/>
                <w:spacing w:val="7"/>
                <w:kern w:val="0"/>
                <w:szCs w:val="24"/>
              </w:rPr>
              <w:t>公安局大源派出</w:t>
            </w:r>
            <w:r>
              <w:rPr>
                <w:rFonts w:ascii="??_GB2312" w:hAnsi="??_GB2312"/>
                <w:spacing w:val="7"/>
                <w:kern w:val="0"/>
                <w:szCs w:val="24"/>
              </w:rPr>
              <w:t>所</w:t>
            </w:r>
            <w:r>
              <w:rPr>
                <w:rFonts w:ascii="??_GB2312" w:hAnsi="??_GB2312"/>
                <w:spacing w:val="7"/>
                <w:kern w:val="0"/>
                <w:szCs w:val="24"/>
              </w:rPr>
              <w:t>“</w:t>
            </w:r>
            <w:r>
              <w:rPr>
                <w:rFonts w:ascii="宋体" w:hAnsi="宋体" w:cs="宋体" w:hint="eastAsia"/>
                <w:spacing w:val="7"/>
                <w:kern w:val="0"/>
                <w:szCs w:val="24"/>
              </w:rPr>
              <w:t>枫桥</w:t>
            </w:r>
            <w:r>
              <w:rPr>
                <w:rFonts w:ascii="MS Mincho" w:eastAsia="MS Mincho" w:hAnsi="MS Mincho" w:cs="MS Mincho" w:hint="eastAsia"/>
                <w:spacing w:val="7"/>
                <w:kern w:val="0"/>
                <w:szCs w:val="24"/>
              </w:rPr>
              <w:t>式公安派出所”建</w:t>
            </w:r>
            <w:r>
              <w:rPr>
                <w:rFonts w:ascii="宋体" w:hAnsi="宋体" w:cs="宋体" w:hint="eastAsia"/>
                <w:spacing w:val="7"/>
                <w:kern w:val="0"/>
                <w:szCs w:val="24"/>
              </w:rPr>
              <w:t>设</w:t>
            </w:r>
            <w:r>
              <w:rPr>
                <w:rFonts w:ascii="MS Mincho" w:eastAsia="MS Mincho" w:hAnsi="MS Mincho" w:cs="MS Mincho" w:hint="eastAsia"/>
                <w:spacing w:val="7"/>
                <w:kern w:val="0"/>
                <w:szCs w:val="24"/>
              </w:rPr>
              <w:t>工程、</w:t>
            </w:r>
            <w:r>
              <w:rPr>
                <w:rFonts w:ascii="宋体" w:hAnsi="宋体" w:cs="宋体" w:hint="eastAsia"/>
                <w:spacing w:val="7"/>
                <w:kern w:val="0"/>
                <w:szCs w:val="24"/>
              </w:rPr>
              <w:t>缙</w:t>
            </w:r>
            <w:r>
              <w:rPr>
                <w:rFonts w:ascii="MS Mincho" w:eastAsia="MS Mincho" w:hAnsi="MS Mincho" w:cs="MS Mincho" w:hint="eastAsia"/>
                <w:spacing w:val="7"/>
                <w:kern w:val="0"/>
                <w:szCs w:val="24"/>
              </w:rPr>
              <w:t>云</w:t>
            </w:r>
            <w:r>
              <w:rPr>
                <w:rFonts w:ascii="宋体" w:hAnsi="宋体" w:cs="宋体" w:hint="eastAsia"/>
                <w:spacing w:val="7"/>
                <w:kern w:val="0"/>
                <w:szCs w:val="24"/>
              </w:rPr>
              <w:t>县</w:t>
            </w:r>
            <w:r>
              <w:rPr>
                <w:rFonts w:ascii="MS Mincho" w:eastAsia="MS Mincho" w:hAnsi="MS Mincho" w:cs="MS Mincho" w:hint="eastAsia"/>
                <w:spacing w:val="7"/>
                <w:kern w:val="0"/>
                <w:szCs w:val="24"/>
              </w:rPr>
              <w:t>看守所（拘留所）改造工程、</w:t>
            </w:r>
            <w:r>
              <w:rPr>
                <w:rFonts w:ascii="宋体" w:hAnsi="宋体" w:cs="宋体" w:hint="eastAsia"/>
                <w:spacing w:val="7"/>
                <w:kern w:val="0"/>
                <w:szCs w:val="24"/>
              </w:rPr>
              <w:t>缙</w:t>
            </w:r>
            <w:r>
              <w:rPr>
                <w:rFonts w:ascii="MS Mincho" w:eastAsia="MS Mincho" w:hAnsi="MS Mincho" w:cs="MS Mincho" w:hint="eastAsia"/>
                <w:spacing w:val="7"/>
                <w:kern w:val="0"/>
                <w:szCs w:val="24"/>
              </w:rPr>
              <w:t>云</w:t>
            </w:r>
            <w:r>
              <w:rPr>
                <w:rFonts w:ascii="宋体" w:hAnsi="宋体" w:cs="宋体" w:hint="eastAsia"/>
                <w:spacing w:val="7"/>
                <w:kern w:val="0"/>
                <w:szCs w:val="24"/>
              </w:rPr>
              <w:t>县</w:t>
            </w:r>
            <w:r>
              <w:rPr>
                <w:rFonts w:ascii="MS Mincho" w:eastAsia="MS Mincho" w:hAnsi="MS Mincho" w:cs="MS Mincho" w:hint="eastAsia"/>
                <w:spacing w:val="7"/>
                <w:kern w:val="0"/>
                <w:szCs w:val="24"/>
              </w:rPr>
              <w:t>看守所（拘留所）南</w:t>
            </w:r>
            <w:r>
              <w:rPr>
                <w:rFonts w:ascii="宋体" w:hAnsi="宋体" w:cs="宋体" w:hint="eastAsia"/>
                <w:spacing w:val="7"/>
                <w:kern w:val="0"/>
                <w:szCs w:val="24"/>
              </w:rPr>
              <w:t>侧挡</w:t>
            </w:r>
            <w:r>
              <w:rPr>
                <w:rFonts w:ascii="MS Mincho" w:eastAsia="MS Mincho" w:hAnsi="MS Mincho" w:cs="MS Mincho" w:hint="eastAsia"/>
                <w:spacing w:val="7"/>
                <w:kern w:val="0"/>
                <w:szCs w:val="24"/>
              </w:rPr>
              <w:t>土</w:t>
            </w:r>
            <w:r>
              <w:rPr>
                <w:rFonts w:ascii="宋体" w:hAnsi="宋体" w:cs="宋体" w:hint="eastAsia"/>
                <w:spacing w:val="7"/>
                <w:kern w:val="0"/>
                <w:szCs w:val="24"/>
              </w:rPr>
              <w:t>墙</w:t>
            </w:r>
            <w:r>
              <w:rPr>
                <w:rFonts w:ascii="MS Mincho" w:eastAsia="MS Mincho" w:hAnsi="MS Mincho" w:cs="MS Mincho" w:hint="eastAsia"/>
                <w:spacing w:val="7"/>
                <w:kern w:val="0"/>
                <w:szCs w:val="24"/>
              </w:rPr>
              <w:t>坍塌区</w:t>
            </w:r>
            <w:r>
              <w:rPr>
                <w:rFonts w:ascii="宋体" w:hAnsi="宋体" w:cs="宋体" w:hint="eastAsia"/>
                <w:spacing w:val="7"/>
                <w:kern w:val="0"/>
                <w:szCs w:val="24"/>
              </w:rPr>
              <w:t>块抢</w:t>
            </w:r>
            <w:r>
              <w:rPr>
                <w:rFonts w:ascii="MS Mincho" w:eastAsia="MS Mincho" w:hAnsi="MS Mincho" w:cs="MS Mincho" w:hint="eastAsia"/>
                <w:spacing w:val="7"/>
                <w:kern w:val="0"/>
                <w:szCs w:val="24"/>
              </w:rPr>
              <w:t>修工程、</w:t>
            </w:r>
            <w:r>
              <w:rPr>
                <w:rFonts w:ascii="宋体" w:hAnsi="宋体" w:cs="宋体" w:hint="eastAsia"/>
                <w:spacing w:val="7"/>
                <w:kern w:val="0"/>
                <w:szCs w:val="24"/>
              </w:rPr>
              <w:t>缙</w:t>
            </w:r>
            <w:r>
              <w:rPr>
                <w:rFonts w:ascii="MS Mincho" w:eastAsia="MS Mincho" w:hAnsi="MS Mincho" w:cs="MS Mincho" w:hint="eastAsia"/>
                <w:spacing w:val="7"/>
                <w:kern w:val="0"/>
                <w:szCs w:val="24"/>
              </w:rPr>
              <w:t>云</w:t>
            </w:r>
            <w:r>
              <w:rPr>
                <w:rFonts w:ascii="宋体" w:hAnsi="宋体" w:cs="宋体" w:hint="eastAsia"/>
                <w:spacing w:val="7"/>
                <w:kern w:val="0"/>
                <w:szCs w:val="24"/>
              </w:rPr>
              <w:t>县</w:t>
            </w:r>
            <w:r>
              <w:rPr>
                <w:rFonts w:ascii="MS Mincho" w:eastAsia="MS Mincho" w:hAnsi="MS Mincho" w:cs="MS Mincho" w:hint="eastAsia"/>
                <w:spacing w:val="7"/>
                <w:kern w:val="0"/>
                <w:szCs w:val="24"/>
              </w:rPr>
              <w:t>公安局五云刑</w:t>
            </w:r>
            <w:r>
              <w:rPr>
                <w:rFonts w:ascii="宋体" w:hAnsi="宋体" w:cs="宋体" w:hint="eastAsia"/>
                <w:spacing w:val="7"/>
                <w:kern w:val="0"/>
                <w:szCs w:val="24"/>
              </w:rPr>
              <w:t>侦</w:t>
            </w:r>
            <w:r>
              <w:rPr>
                <w:rFonts w:ascii="MS Mincho" w:eastAsia="MS Mincho" w:hAnsi="MS Mincho" w:cs="MS Mincho" w:hint="eastAsia"/>
                <w:spacing w:val="7"/>
                <w:kern w:val="0"/>
                <w:szCs w:val="24"/>
              </w:rPr>
              <w:t>中</w:t>
            </w:r>
            <w:r>
              <w:rPr>
                <w:rFonts w:ascii="宋体" w:hAnsi="宋体" w:cs="宋体" w:hint="eastAsia"/>
                <w:spacing w:val="7"/>
                <w:kern w:val="0"/>
                <w:szCs w:val="24"/>
              </w:rPr>
              <w:t>队</w:t>
            </w:r>
            <w:r>
              <w:rPr>
                <w:rFonts w:ascii="MS Mincho" w:eastAsia="MS Mincho" w:hAnsi="MS Mincho" w:cs="MS Mincho" w:hint="eastAsia"/>
                <w:spacing w:val="7"/>
                <w:kern w:val="0"/>
                <w:szCs w:val="24"/>
              </w:rPr>
              <w:t>搬迁改造工程、</w:t>
            </w:r>
            <w:r>
              <w:rPr>
                <w:rFonts w:ascii="宋体" w:hAnsi="宋体" w:cs="宋体" w:hint="eastAsia"/>
                <w:spacing w:val="7"/>
                <w:kern w:val="0"/>
                <w:szCs w:val="24"/>
              </w:rPr>
              <w:t>综</w:t>
            </w:r>
            <w:r>
              <w:rPr>
                <w:rFonts w:ascii="MS Mincho" w:eastAsia="MS Mincho" w:hAnsi="MS Mincho" w:cs="MS Mincho" w:hint="eastAsia"/>
                <w:spacing w:val="7"/>
                <w:kern w:val="0"/>
                <w:szCs w:val="24"/>
              </w:rPr>
              <w:t>合警</w:t>
            </w:r>
            <w:r>
              <w:rPr>
                <w:rFonts w:ascii="宋体" w:hAnsi="宋体" w:cs="宋体" w:hint="eastAsia"/>
                <w:spacing w:val="7"/>
                <w:kern w:val="0"/>
                <w:szCs w:val="24"/>
              </w:rPr>
              <w:t>务</w:t>
            </w:r>
            <w:r>
              <w:rPr>
                <w:rFonts w:ascii="MS Mincho" w:eastAsia="MS Mincho" w:hAnsi="MS Mincho" w:cs="MS Mincho" w:hint="eastAsia"/>
                <w:spacing w:val="7"/>
                <w:kern w:val="0"/>
                <w:szCs w:val="24"/>
              </w:rPr>
              <w:t>中心建</w:t>
            </w:r>
            <w:r>
              <w:rPr>
                <w:rFonts w:ascii="宋体" w:hAnsi="宋体" w:cs="宋体" w:hint="eastAsia"/>
                <w:spacing w:val="7"/>
                <w:kern w:val="0"/>
                <w:szCs w:val="24"/>
              </w:rPr>
              <w:t>设</w:t>
            </w:r>
            <w:r>
              <w:rPr>
                <w:rFonts w:ascii="MS Mincho" w:eastAsia="MS Mincho" w:hAnsi="MS Mincho" w:cs="MS Mincho" w:hint="eastAsia"/>
                <w:spacing w:val="7"/>
                <w:kern w:val="0"/>
                <w:szCs w:val="24"/>
              </w:rPr>
              <w:t>工程。</w:t>
            </w:r>
          </w:p>
          <w:p w:rsidR="00D95D3B" w:rsidRDefault="00D95D3B">
            <w:pPr>
              <w:widowControl/>
              <w:wordWrap w:val="0"/>
              <w:spacing w:line="240" w:lineRule="atLeast"/>
              <w:jc w:val="center"/>
              <w:rPr>
                <w:rFonts w:ascii="??_GB2312" w:hAnsi="??_GB2312"/>
                <w:spacing w:val="7"/>
                <w:kern w:val="0"/>
                <w:sz w:val="24"/>
                <w:szCs w:val="24"/>
              </w:rPr>
            </w:pPr>
          </w:p>
        </w:tc>
      </w:tr>
      <w:tr w:rsidR="00D95D3B">
        <w:trPr>
          <w:trHeight w:val="1970"/>
        </w:trPr>
        <w:tc>
          <w:tcPr>
            <w:tcW w:w="458" w:type="dxa"/>
            <w:vMerge w:val="restart"/>
            <w:tcBorders>
              <w:top w:val="nil"/>
              <w:left w:val="single" w:sz="6" w:space="0" w:color="auto"/>
              <w:bottom w:val="nil"/>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宋体" w:hAnsi="宋体" w:cs="宋体" w:hint="eastAsia"/>
                <w:spacing w:val="7"/>
                <w:kern w:val="0"/>
                <w:sz w:val="24"/>
                <w:szCs w:val="24"/>
              </w:rPr>
              <w:t>绩</w:t>
            </w:r>
            <w:r>
              <w:rPr>
                <w:rFonts w:ascii="MS Mincho" w:eastAsia="MS Mincho" w:hAnsi="MS Mincho" w:cs="MS Mincho" w:hint="eastAsia"/>
                <w:spacing w:val="7"/>
                <w:kern w:val="0"/>
                <w:sz w:val="24"/>
                <w:szCs w:val="24"/>
              </w:rPr>
              <w:t>效指</w:t>
            </w:r>
            <w:r>
              <w:rPr>
                <w:rFonts w:ascii="宋体" w:hAnsi="宋体" w:cs="宋体" w:hint="eastAsia"/>
                <w:spacing w:val="7"/>
                <w:kern w:val="0"/>
                <w:sz w:val="24"/>
                <w:szCs w:val="24"/>
              </w:rPr>
              <w:t>标</w:t>
            </w:r>
          </w:p>
        </w:tc>
        <w:tc>
          <w:tcPr>
            <w:tcW w:w="492" w:type="dxa"/>
            <w:tcBorders>
              <w:top w:val="nil"/>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一</w:t>
            </w:r>
            <w:r>
              <w:rPr>
                <w:rFonts w:ascii="宋体" w:hAnsi="宋体" w:cs="宋体" w:hint="eastAsia"/>
                <w:spacing w:val="7"/>
                <w:kern w:val="0"/>
                <w:sz w:val="24"/>
                <w:szCs w:val="24"/>
              </w:rPr>
              <w:t>级</w:t>
            </w:r>
            <w:r>
              <w:rPr>
                <w:rFonts w:ascii="MS Mincho" w:eastAsia="MS Mincho" w:hAnsi="MS Mincho" w:cs="MS Mincho" w:hint="eastAsia"/>
                <w:spacing w:val="7"/>
                <w:kern w:val="0"/>
                <w:sz w:val="24"/>
                <w:szCs w:val="24"/>
              </w:rPr>
              <w:t>指</w:t>
            </w:r>
            <w:r>
              <w:rPr>
                <w:rFonts w:ascii="宋体" w:hAnsi="宋体" w:cs="宋体" w:hint="eastAsia"/>
                <w:spacing w:val="7"/>
                <w:kern w:val="0"/>
                <w:sz w:val="24"/>
                <w:szCs w:val="24"/>
              </w:rPr>
              <w:t>标</w:t>
            </w:r>
          </w:p>
        </w:tc>
        <w:tc>
          <w:tcPr>
            <w:tcW w:w="993" w:type="dxa"/>
            <w:tcBorders>
              <w:top w:val="nil"/>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二</w:t>
            </w:r>
            <w:r>
              <w:rPr>
                <w:rFonts w:ascii="宋体" w:hAnsi="宋体" w:cs="宋体" w:hint="eastAsia"/>
                <w:spacing w:val="7"/>
                <w:kern w:val="0"/>
                <w:sz w:val="24"/>
                <w:szCs w:val="24"/>
              </w:rPr>
              <w:t>级</w:t>
            </w:r>
            <w:r>
              <w:rPr>
                <w:rFonts w:ascii="MS Mincho" w:eastAsia="MS Mincho" w:hAnsi="MS Mincho" w:cs="MS Mincho" w:hint="eastAsia"/>
                <w:spacing w:val="7"/>
                <w:kern w:val="0"/>
                <w:sz w:val="24"/>
                <w:szCs w:val="24"/>
              </w:rPr>
              <w:t>指</w:t>
            </w:r>
            <w:r>
              <w:rPr>
                <w:rFonts w:ascii="宋体" w:hAnsi="宋体" w:cs="宋体" w:hint="eastAsia"/>
                <w:spacing w:val="7"/>
                <w:kern w:val="0"/>
                <w:sz w:val="24"/>
                <w:szCs w:val="24"/>
              </w:rPr>
              <w:t>标</w:t>
            </w:r>
          </w:p>
        </w:tc>
        <w:tc>
          <w:tcPr>
            <w:tcW w:w="1470" w:type="dxa"/>
            <w:tcBorders>
              <w:top w:val="single" w:sz="6" w:space="0" w:color="auto"/>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三</w:t>
            </w:r>
            <w:r>
              <w:rPr>
                <w:rFonts w:ascii="宋体" w:hAnsi="宋体" w:cs="宋体" w:hint="eastAsia"/>
                <w:spacing w:val="7"/>
                <w:kern w:val="0"/>
                <w:sz w:val="24"/>
                <w:szCs w:val="24"/>
              </w:rPr>
              <w:t>级</w:t>
            </w:r>
            <w:r>
              <w:rPr>
                <w:rFonts w:ascii="MS Mincho" w:eastAsia="MS Mincho" w:hAnsi="MS Mincho" w:cs="MS Mincho" w:hint="eastAsia"/>
                <w:spacing w:val="7"/>
                <w:kern w:val="0"/>
                <w:sz w:val="24"/>
                <w:szCs w:val="24"/>
              </w:rPr>
              <w:t>指</w:t>
            </w:r>
            <w:r>
              <w:rPr>
                <w:rFonts w:ascii="宋体" w:hAnsi="宋体" w:cs="宋体" w:hint="eastAsia"/>
                <w:spacing w:val="7"/>
                <w:kern w:val="0"/>
                <w:sz w:val="24"/>
                <w:szCs w:val="24"/>
              </w:rPr>
              <w:t>标</w:t>
            </w:r>
          </w:p>
        </w:tc>
        <w:tc>
          <w:tcPr>
            <w:tcW w:w="1654" w:type="dxa"/>
            <w:tcBorders>
              <w:top w:val="nil"/>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年度</w:t>
            </w:r>
          </w:p>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指</w:t>
            </w:r>
            <w:r>
              <w:rPr>
                <w:rFonts w:ascii="宋体" w:hAnsi="宋体" w:cs="宋体" w:hint="eastAsia"/>
                <w:spacing w:val="7"/>
                <w:kern w:val="0"/>
                <w:sz w:val="24"/>
                <w:szCs w:val="24"/>
              </w:rPr>
              <w:t>标值</w:t>
            </w:r>
          </w:p>
        </w:tc>
        <w:tc>
          <w:tcPr>
            <w:tcW w:w="1668" w:type="dxa"/>
            <w:tcBorders>
              <w:top w:val="nil"/>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宋体" w:hAnsi="宋体" w:cs="宋体" w:hint="eastAsia"/>
                <w:spacing w:val="7"/>
                <w:kern w:val="0"/>
                <w:sz w:val="24"/>
                <w:szCs w:val="24"/>
              </w:rPr>
              <w:t>实际</w:t>
            </w:r>
          </w:p>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完成</w:t>
            </w:r>
            <w:r>
              <w:rPr>
                <w:rFonts w:ascii="宋体" w:hAnsi="宋体" w:cs="宋体" w:hint="eastAsia"/>
                <w:spacing w:val="7"/>
                <w:kern w:val="0"/>
                <w:sz w:val="24"/>
                <w:szCs w:val="24"/>
              </w:rPr>
              <w:t>值</w:t>
            </w:r>
          </w:p>
        </w:tc>
        <w:tc>
          <w:tcPr>
            <w:tcW w:w="825" w:type="dxa"/>
            <w:tcBorders>
              <w:top w:val="nil"/>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宋体" w:hAnsi="宋体" w:cs="宋体" w:hint="eastAsia"/>
                <w:spacing w:val="7"/>
                <w:kern w:val="0"/>
                <w:sz w:val="24"/>
                <w:szCs w:val="24"/>
              </w:rPr>
              <w:t>权</w:t>
            </w:r>
            <w:r>
              <w:rPr>
                <w:rFonts w:ascii="MS Mincho" w:eastAsia="MS Mincho" w:hAnsi="MS Mincho" w:cs="MS Mincho" w:hint="eastAsia"/>
                <w:spacing w:val="7"/>
                <w:kern w:val="0"/>
                <w:sz w:val="24"/>
                <w:szCs w:val="24"/>
              </w:rPr>
              <w:t>重</w:t>
            </w:r>
          </w:p>
        </w:tc>
        <w:tc>
          <w:tcPr>
            <w:tcW w:w="767" w:type="dxa"/>
            <w:gridSpan w:val="2"/>
            <w:tcBorders>
              <w:top w:val="nil"/>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得分</w:t>
            </w:r>
          </w:p>
        </w:tc>
        <w:tc>
          <w:tcPr>
            <w:tcW w:w="838" w:type="dxa"/>
            <w:tcBorders>
              <w:top w:val="single" w:sz="6" w:space="0" w:color="auto"/>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宋体" w:hAnsi="宋体" w:cs="宋体" w:hint="eastAsia"/>
                <w:spacing w:val="7"/>
                <w:kern w:val="0"/>
                <w:sz w:val="24"/>
                <w:szCs w:val="24"/>
              </w:rPr>
              <w:t>备</w:t>
            </w:r>
            <w:r>
              <w:rPr>
                <w:rFonts w:ascii="MS Mincho" w:eastAsia="MS Mincho" w:hAnsi="MS Mincho" w:cs="MS Mincho" w:hint="eastAsia"/>
                <w:spacing w:val="7"/>
                <w:kern w:val="0"/>
                <w:sz w:val="24"/>
                <w:szCs w:val="24"/>
              </w:rPr>
              <w:t>注</w:t>
            </w:r>
          </w:p>
        </w:tc>
      </w:tr>
      <w:tr w:rsidR="00D95D3B">
        <w:trPr>
          <w:trHeight w:val="1882"/>
        </w:trPr>
        <w:tc>
          <w:tcPr>
            <w:tcW w:w="458" w:type="dxa"/>
            <w:vMerge/>
            <w:tcBorders>
              <w:top w:val="nil"/>
              <w:left w:val="single" w:sz="6" w:space="0" w:color="auto"/>
              <w:bottom w:val="nil"/>
              <w:right w:val="single" w:sz="4" w:space="0" w:color="auto"/>
            </w:tcBorders>
            <w:shd w:val="clear" w:color="auto" w:fill="FFFFFF"/>
            <w:vAlign w:val="center"/>
          </w:tcPr>
          <w:p w:rsidR="00D95D3B" w:rsidRDefault="00D95D3B">
            <w:pPr>
              <w:widowControl/>
              <w:jc w:val="left"/>
              <w:rPr>
                <w:rFonts w:ascii="??_GB2312" w:hAnsi="??_GB2312"/>
                <w:spacing w:val="7"/>
                <w:kern w:val="0"/>
                <w:sz w:val="24"/>
                <w:szCs w:val="24"/>
              </w:rPr>
            </w:pPr>
          </w:p>
        </w:tc>
        <w:tc>
          <w:tcPr>
            <w:tcW w:w="492" w:type="dxa"/>
            <w:vMerge w:val="restart"/>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宋体" w:hAnsi="宋体" w:cs="宋体" w:hint="eastAsia"/>
                <w:spacing w:val="7"/>
                <w:kern w:val="0"/>
                <w:sz w:val="24"/>
                <w:szCs w:val="24"/>
              </w:rPr>
              <w:t>绩</w:t>
            </w:r>
            <w:r>
              <w:rPr>
                <w:rFonts w:ascii="MS Mincho" w:eastAsia="MS Mincho" w:hAnsi="MS Mincho" w:cs="MS Mincho" w:hint="eastAsia"/>
                <w:spacing w:val="7"/>
                <w:kern w:val="0"/>
                <w:sz w:val="24"/>
                <w:szCs w:val="24"/>
              </w:rPr>
              <w:t>效指</w:t>
            </w:r>
            <w:r>
              <w:rPr>
                <w:rFonts w:ascii="宋体" w:hAnsi="宋体" w:cs="宋体" w:hint="eastAsia"/>
                <w:spacing w:val="7"/>
                <w:kern w:val="0"/>
                <w:sz w:val="24"/>
                <w:szCs w:val="24"/>
              </w:rPr>
              <w:t>标</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宋体" w:hAnsi="宋体" w:cs="宋体" w:hint="eastAsia"/>
                <w:spacing w:val="7"/>
                <w:kern w:val="0"/>
                <w:sz w:val="24"/>
                <w:szCs w:val="24"/>
              </w:rPr>
              <w:t>项</w:t>
            </w:r>
            <w:r>
              <w:rPr>
                <w:rFonts w:ascii="MS Mincho" w:eastAsia="MS Mincho" w:hAnsi="MS Mincho" w:cs="MS Mincho" w:hint="eastAsia"/>
                <w:spacing w:val="7"/>
                <w:kern w:val="0"/>
                <w:sz w:val="24"/>
                <w:szCs w:val="24"/>
              </w:rPr>
              <w:t>目必要性</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依据充分性</w:t>
            </w:r>
          </w:p>
        </w:tc>
        <w:tc>
          <w:tcPr>
            <w:tcW w:w="1654"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Cs w:val="24"/>
              </w:rPr>
            </w:pPr>
            <w:r>
              <w:rPr>
                <w:rFonts w:ascii="宋体" w:hAnsi="宋体" w:cs="宋体" w:hint="eastAsia"/>
                <w:spacing w:val="7"/>
                <w:kern w:val="0"/>
                <w:szCs w:val="24"/>
              </w:rPr>
              <w:t>该</w:t>
            </w:r>
            <w:r>
              <w:rPr>
                <w:rFonts w:ascii="MS Mincho" w:eastAsia="MS Mincho" w:hAnsi="MS Mincho" w:cs="MS Mincho" w:hint="eastAsia"/>
                <w:spacing w:val="7"/>
                <w:kern w:val="0"/>
                <w:szCs w:val="24"/>
              </w:rPr>
              <w:t>政策</w:t>
            </w:r>
            <w:r>
              <w:rPr>
                <w:rFonts w:ascii="宋体" w:hAnsi="宋体" w:cs="宋体" w:hint="eastAsia"/>
                <w:spacing w:val="7"/>
                <w:kern w:val="0"/>
                <w:szCs w:val="24"/>
              </w:rPr>
              <w:t>设</w:t>
            </w:r>
            <w:r>
              <w:rPr>
                <w:rFonts w:ascii="MS Mincho" w:eastAsia="MS Mincho" w:hAnsi="MS Mincho" w:cs="MS Mincho" w:hint="eastAsia"/>
                <w:spacing w:val="7"/>
                <w:kern w:val="0"/>
                <w:szCs w:val="24"/>
              </w:rPr>
              <w:t>立依据充分，内容符合省、市政策文件精神</w:t>
            </w:r>
            <w:r>
              <w:rPr>
                <w:rFonts w:ascii="??_GB2312" w:hAnsi="??_GB2312"/>
                <w:spacing w:val="7"/>
                <w:kern w:val="0"/>
                <w:szCs w:val="24"/>
              </w:rPr>
              <w:t xml:space="preserve"> </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24"/>
                <w:szCs w:val="24"/>
              </w:rPr>
            </w:pPr>
            <w:r>
              <w:rPr>
                <w:rFonts w:ascii="??_GB2312" w:hAnsi="??_GB2312"/>
                <w:spacing w:val="7"/>
                <w:kern w:val="0"/>
                <w:szCs w:val="24"/>
              </w:rPr>
              <w:t>依据充分，内容附和省市政策文件精神</w:t>
            </w:r>
          </w:p>
        </w:tc>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24"/>
                <w:szCs w:val="24"/>
              </w:rPr>
            </w:pPr>
            <w:r>
              <w:rPr>
                <w:rFonts w:ascii="??_GB2312" w:hAnsi="??_GB2312"/>
                <w:spacing w:val="7"/>
                <w:kern w:val="0"/>
                <w:sz w:val="24"/>
                <w:szCs w:val="24"/>
              </w:rPr>
              <w:t>30</w:t>
            </w:r>
          </w:p>
        </w:tc>
        <w:tc>
          <w:tcPr>
            <w:tcW w:w="7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24"/>
                <w:szCs w:val="24"/>
              </w:rPr>
            </w:pPr>
            <w:r>
              <w:rPr>
                <w:rFonts w:ascii="??_GB2312" w:hAnsi="??_GB2312"/>
                <w:spacing w:val="7"/>
                <w:kern w:val="0"/>
                <w:sz w:val="24"/>
                <w:szCs w:val="24"/>
              </w:rPr>
              <w:t>30</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24"/>
                <w:szCs w:val="24"/>
              </w:rPr>
            </w:pPr>
          </w:p>
        </w:tc>
      </w:tr>
      <w:tr w:rsidR="00D95D3B">
        <w:trPr>
          <w:trHeight w:val="300"/>
        </w:trPr>
        <w:tc>
          <w:tcPr>
            <w:tcW w:w="458" w:type="dxa"/>
            <w:vMerge/>
            <w:tcBorders>
              <w:top w:val="nil"/>
              <w:left w:val="single" w:sz="6" w:space="0" w:color="auto"/>
              <w:bottom w:val="nil"/>
              <w:right w:val="single" w:sz="4" w:space="0" w:color="auto"/>
            </w:tcBorders>
            <w:shd w:val="clear" w:color="auto" w:fill="FFFFFF"/>
            <w:vAlign w:val="center"/>
          </w:tcPr>
          <w:p w:rsidR="00D95D3B" w:rsidRDefault="00D95D3B">
            <w:pPr>
              <w:widowControl/>
              <w:jc w:val="left"/>
              <w:rPr>
                <w:rFonts w:ascii="??_GB2312" w:hAnsi="??_GB2312"/>
                <w:spacing w:val="7"/>
                <w:kern w:val="0"/>
                <w:sz w:val="24"/>
                <w:szCs w:val="24"/>
              </w:rPr>
            </w:pPr>
          </w:p>
        </w:tc>
        <w:tc>
          <w:tcPr>
            <w:tcW w:w="492" w:type="dxa"/>
            <w:vMerge/>
            <w:tcBorders>
              <w:top w:val="nil"/>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p>
        </w:tc>
        <w:tc>
          <w:tcPr>
            <w:tcW w:w="993" w:type="dxa"/>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ordWrap w:val="0"/>
              <w:spacing w:line="240" w:lineRule="atLeast"/>
              <w:jc w:val="center"/>
              <w:rPr>
                <w:rFonts w:ascii="??_GB2312" w:hAnsi="??_GB2312"/>
                <w:spacing w:val="7"/>
                <w:kern w:val="0"/>
                <w:sz w:val="24"/>
                <w:szCs w:val="24"/>
              </w:rPr>
            </w:pPr>
            <w:r>
              <w:rPr>
                <w:rFonts w:ascii="宋体" w:hAnsi="宋体" w:cs="宋体" w:hint="eastAsia"/>
                <w:spacing w:val="7"/>
                <w:kern w:val="0"/>
                <w:sz w:val="24"/>
                <w:szCs w:val="24"/>
              </w:rPr>
              <w:t>项</w:t>
            </w:r>
            <w:r>
              <w:rPr>
                <w:rFonts w:ascii="MS Mincho" w:eastAsia="MS Mincho" w:hAnsi="MS Mincho" w:cs="MS Mincho" w:hint="eastAsia"/>
                <w:spacing w:val="7"/>
                <w:kern w:val="0"/>
                <w:sz w:val="24"/>
                <w:szCs w:val="24"/>
              </w:rPr>
              <w:t>目科学性</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18"/>
                <w:szCs w:val="24"/>
              </w:rPr>
            </w:pPr>
            <w:r>
              <w:rPr>
                <w:rFonts w:ascii="??_GB2312" w:hAnsi="??_GB2312"/>
                <w:spacing w:val="7"/>
                <w:kern w:val="0"/>
                <w:sz w:val="18"/>
                <w:szCs w:val="24"/>
              </w:rPr>
              <w:t>目</w:t>
            </w:r>
            <w:r>
              <w:rPr>
                <w:rFonts w:ascii="宋体" w:hAnsi="宋体" w:cs="宋体" w:hint="eastAsia"/>
                <w:spacing w:val="7"/>
                <w:kern w:val="0"/>
                <w:sz w:val="18"/>
                <w:szCs w:val="24"/>
              </w:rPr>
              <w:t>标</w:t>
            </w:r>
            <w:r>
              <w:rPr>
                <w:rFonts w:ascii="MS Mincho" w:eastAsia="MS Mincho" w:hAnsi="MS Mincho" w:cs="MS Mincho" w:hint="eastAsia"/>
                <w:spacing w:val="7"/>
                <w:kern w:val="0"/>
                <w:sz w:val="18"/>
                <w:szCs w:val="24"/>
              </w:rPr>
              <w:t>科学性</w:t>
            </w:r>
          </w:p>
        </w:tc>
        <w:tc>
          <w:tcPr>
            <w:tcW w:w="1654"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r>
              <w:rPr>
                <w:rFonts w:ascii="??_GB2312" w:hAnsi="??_GB2312"/>
                <w:spacing w:val="7"/>
                <w:kern w:val="0"/>
                <w:sz w:val="18"/>
                <w:szCs w:val="24"/>
              </w:rPr>
              <w:t>政策</w:t>
            </w:r>
            <w:r>
              <w:rPr>
                <w:rFonts w:ascii="宋体" w:hAnsi="宋体" w:cs="宋体" w:hint="eastAsia"/>
                <w:spacing w:val="7"/>
                <w:kern w:val="0"/>
                <w:sz w:val="18"/>
                <w:szCs w:val="24"/>
              </w:rPr>
              <w:t>项</w:t>
            </w:r>
            <w:r>
              <w:rPr>
                <w:rFonts w:ascii="MS Mincho" w:eastAsia="MS Mincho" w:hAnsi="MS Mincho" w:cs="MS Mincho" w:hint="eastAsia"/>
                <w:spacing w:val="7"/>
                <w:kern w:val="0"/>
                <w:sz w:val="18"/>
                <w:szCs w:val="24"/>
              </w:rPr>
              <w:t>目目</w:t>
            </w:r>
            <w:r>
              <w:rPr>
                <w:rFonts w:ascii="宋体" w:hAnsi="宋体" w:cs="宋体" w:hint="eastAsia"/>
                <w:spacing w:val="7"/>
                <w:kern w:val="0"/>
                <w:sz w:val="18"/>
                <w:szCs w:val="24"/>
              </w:rPr>
              <w:t>标</w:t>
            </w:r>
            <w:r>
              <w:rPr>
                <w:rFonts w:ascii="MS Mincho" w:eastAsia="MS Mincho" w:hAnsi="MS Mincho" w:cs="MS Mincho" w:hint="eastAsia"/>
                <w:spacing w:val="7"/>
                <w:kern w:val="0"/>
                <w:sz w:val="18"/>
                <w:szCs w:val="24"/>
              </w:rPr>
              <w:t>清晰、明确</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r>
              <w:rPr>
                <w:rFonts w:ascii="??_GB2312" w:hAnsi="??_GB2312"/>
                <w:spacing w:val="7"/>
                <w:kern w:val="0"/>
                <w:sz w:val="18"/>
                <w:szCs w:val="24"/>
              </w:rPr>
              <w:t>有中</w:t>
            </w:r>
            <w:r>
              <w:rPr>
                <w:rFonts w:ascii="宋体" w:hAnsi="宋体" w:cs="宋体" w:hint="eastAsia"/>
                <w:spacing w:val="7"/>
                <w:kern w:val="0"/>
                <w:sz w:val="18"/>
                <w:szCs w:val="24"/>
              </w:rPr>
              <w:t>长</w:t>
            </w:r>
            <w:r>
              <w:rPr>
                <w:rFonts w:ascii="MS Mincho" w:eastAsia="MS Mincho" w:hAnsi="MS Mincho" w:cs="MS Mincho" w:hint="eastAsia"/>
                <w:spacing w:val="7"/>
                <w:kern w:val="0"/>
                <w:sz w:val="18"/>
                <w:szCs w:val="24"/>
              </w:rPr>
              <w:t>期</w:t>
            </w:r>
            <w:r>
              <w:rPr>
                <w:rFonts w:ascii="宋体" w:hAnsi="宋体" w:cs="宋体" w:hint="eastAsia"/>
                <w:spacing w:val="7"/>
                <w:kern w:val="0"/>
                <w:sz w:val="18"/>
                <w:szCs w:val="24"/>
              </w:rPr>
              <w:t>规</w:t>
            </w:r>
            <w:r>
              <w:rPr>
                <w:rFonts w:ascii="MS Mincho" w:eastAsia="MS Mincho" w:hAnsi="MS Mincho" w:cs="MS Mincho" w:hint="eastAsia"/>
                <w:spacing w:val="7"/>
                <w:kern w:val="0"/>
                <w:sz w:val="18"/>
                <w:szCs w:val="24"/>
              </w:rPr>
              <w:t>划、各年</w:t>
            </w:r>
            <w:r>
              <w:rPr>
                <w:rFonts w:ascii="宋体" w:hAnsi="宋体" w:cs="宋体" w:hint="eastAsia"/>
                <w:spacing w:val="7"/>
                <w:kern w:val="0"/>
                <w:sz w:val="18"/>
                <w:szCs w:val="24"/>
              </w:rPr>
              <w:t>计</w:t>
            </w:r>
            <w:r>
              <w:rPr>
                <w:rFonts w:ascii="MS Mincho" w:eastAsia="MS Mincho" w:hAnsi="MS Mincho" w:cs="MS Mincho" w:hint="eastAsia"/>
                <w:spacing w:val="7"/>
                <w:kern w:val="0"/>
                <w:sz w:val="18"/>
                <w:szCs w:val="24"/>
              </w:rPr>
              <w:t>划，且完成工作量目</w:t>
            </w:r>
            <w:r>
              <w:rPr>
                <w:rFonts w:ascii="宋体" w:hAnsi="宋体" w:cs="宋体" w:hint="eastAsia"/>
                <w:spacing w:val="7"/>
                <w:kern w:val="0"/>
                <w:sz w:val="18"/>
                <w:szCs w:val="24"/>
              </w:rPr>
              <w:t>标</w:t>
            </w:r>
            <w:r>
              <w:rPr>
                <w:rFonts w:ascii="MS Mincho" w:eastAsia="MS Mincho" w:hAnsi="MS Mincho" w:cs="MS Mincho" w:hint="eastAsia"/>
                <w:spacing w:val="7"/>
                <w:kern w:val="0"/>
                <w:sz w:val="18"/>
                <w:szCs w:val="24"/>
              </w:rPr>
              <w:t>、</w:t>
            </w:r>
            <w:r>
              <w:rPr>
                <w:rFonts w:ascii="宋体" w:hAnsi="宋体" w:cs="宋体" w:hint="eastAsia"/>
                <w:spacing w:val="7"/>
                <w:kern w:val="0"/>
                <w:sz w:val="18"/>
                <w:szCs w:val="24"/>
              </w:rPr>
              <w:t>资</w:t>
            </w:r>
            <w:r>
              <w:rPr>
                <w:rFonts w:ascii="MS Mincho" w:eastAsia="MS Mincho" w:hAnsi="MS Mincho" w:cs="MS Mincho" w:hint="eastAsia"/>
                <w:spacing w:val="7"/>
                <w:kern w:val="0"/>
                <w:sz w:val="18"/>
                <w:szCs w:val="24"/>
              </w:rPr>
              <w:t>金投入</w:t>
            </w:r>
            <w:r>
              <w:rPr>
                <w:rFonts w:ascii="宋体" w:hAnsi="宋体" w:cs="宋体" w:hint="eastAsia"/>
                <w:spacing w:val="7"/>
                <w:kern w:val="0"/>
                <w:sz w:val="18"/>
                <w:szCs w:val="24"/>
              </w:rPr>
              <w:t>产</w:t>
            </w:r>
            <w:r>
              <w:rPr>
                <w:rFonts w:ascii="MS Mincho" w:eastAsia="MS Mincho" w:hAnsi="MS Mincho" w:cs="MS Mincho" w:hint="eastAsia"/>
                <w:spacing w:val="7"/>
                <w:kern w:val="0"/>
                <w:sz w:val="18"/>
                <w:szCs w:val="24"/>
              </w:rPr>
              <w:t>出目</w:t>
            </w:r>
            <w:r>
              <w:rPr>
                <w:rFonts w:ascii="宋体" w:hAnsi="宋体" w:cs="宋体" w:hint="eastAsia"/>
                <w:spacing w:val="7"/>
                <w:kern w:val="0"/>
                <w:sz w:val="18"/>
                <w:szCs w:val="24"/>
              </w:rPr>
              <w:t>标</w:t>
            </w:r>
            <w:r>
              <w:rPr>
                <w:rFonts w:ascii="MS Mincho" w:eastAsia="MS Mincho" w:hAnsi="MS Mincho" w:cs="MS Mincho" w:hint="eastAsia"/>
                <w:spacing w:val="7"/>
                <w:kern w:val="0"/>
                <w:sz w:val="18"/>
                <w:szCs w:val="24"/>
              </w:rPr>
              <w:t>清晰、明确、可量化</w:t>
            </w:r>
          </w:p>
        </w:tc>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24"/>
                <w:szCs w:val="24"/>
              </w:rPr>
            </w:pPr>
            <w:r>
              <w:rPr>
                <w:rFonts w:ascii="??_GB2312" w:hAnsi="??_GB2312"/>
                <w:spacing w:val="7"/>
                <w:kern w:val="0"/>
                <w:sz w:val="24"/>
                <w:szCs w:val="24"/>
              </w:rPr>
              <w:t>30</w:t>
            </w:r>
          </w:p>
        </w:tc>
        <w:tc>
          <w:tcPr>
            <w:tcW w:w="7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24"/>
                <w:szCs w:val="24"/>
              </w:rPr>
            </w:pPr>
            <w:r>
              <w:rPr>
                <w:rFonts w:ascii="??_GB2312" w:hAnsi="??_GB2312"/>
                <w:spacing w:val="7"/>
                <w:kern w:val="0"/>
                <w:sz w:val="24"/>
                <w:szCs w:val="24"/>
              </w:rPr>
              <w:t>30</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24"/>
                <w:szCs w:val="24"/>
              </w:rPr>
            </w:pPr>
          </w:p>
        </w:tc>
      </w:tr>
      <w:tr w:rsidR="00D95D3B">
        <w:trPr>
          <w:trHeight w:val="300"/>
        </w:trPr>
        <w:tc>
          <w:tcPr>
            <w:tcW w:w="458" w:type="dxa"/>
            <w:vMerge/>
            <w:tcBorders>
              <w:top w:val="nil"/>
              <w:left w:val="single" w:sz="6" w:space="0" w:color="auto"/>
              <w:bottom w:val="nil"/>
              <w:right w:val="single" w:sz="4" w:space="0" w:color="auto"/>
            </w:tcBorders>
            <w:shd w:val="clear" w:color="auto" w:fill="FFFFFF"/>
            <w:vAlign w:val="center"/>
          </w:tcPr>
          <w:p w:rsidR="00D95D3B" w:rsidRDefault="00D95D3B">
            <w:pPr>
              <w:widowControl/>
              <w:jc w:val="left"/>
              <w:rPr>
                <w:rFonts w:ascii="??_GB2312" w:hAnsi="??_GB2312"/>
                <w:spacing w:val="7"/>
                <w:kern w:val="0"/>
                <w:sz w:val="24"/>
                <w:szCs w:val="24"/>
              </w:rPr>
            </w:pPr>
          </w:p>
        </w:tc>
        <w:tc>
          <w:tcPr>
            <w:tcW w:w="492" w:type="dxa"/>
            <w:vMerge/>
            <w:tcBorders>
              <w:top w:val="nil"/>
              <w:left w:val="single" w:sz="4" w:space="0" w:color="auto"/>
              <w:bottom w:val="nil"/>
              <w:right w:val="single" w:sz="4" w:space="0" w:color="auto"/>
            </w:tcBorders>
            <w:shd w:val="clear" w:color="auto" w:fill="FFFFFF"/>
            <w:vAlign w:val="center"/>
          </w:tcPr>
          <w:p w:rsidR="00D95D3B" w:rsidRDefault="00D95D3B">
            <w:pPr>
              <w:widowControl/>
              <w:jc w:val="left"/>
              <w:rPr>
                <w:rFonts w:ascii="??_GB2312" w:hAnsi="??_GB2312"/>
                <w:spacing w:val="7"/>
                <w:kern w:val="0"/>
                <w:sz w:val="24"/>
                <w:szCs w:val="24"/>
              </w:rPr>
            </w:pPr>
          </w:p>
        </w:tc>
        <w:tc>
          <w:tcPr>
            <w:tcW w:w="993" w:type="dxa"/>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_GB2312" w:hAnsi="??_GB2312"/>
                <w:spacing w:val="7"/>
                <w:kern w:val="0"/>
                <w:sz w:val="24"/>
                <w:szCs w:val="24"/>
              </w:rPr>
              <w:t>政策效果</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r>
              <w:rPr>
                <w:rFonts w:ascii="宋体" w:hAnsi="宋体" w:cs="宋体" w:hint="eastAsia"/>
                <w:spacing w:val="7"/>
                <w:kern w:val="0"/>
                <w:sz w:val="18"/>
                <w:szCs w:val="24"/>
              </w:rPr>
              <w:t>项</w:t>
            </w:r>
            <w:r>
              <w:rPr>
                <w:rFonts w:ascii="MS Mincho" w:eastAsia="MS Mincho" w:hAnsi="MS Mincho" w:cs="MS Mincho" w:hint="eastAsia"/>
                <w:spacing w:val="7"/>
                <w:kern w:val="0"/>
                <w:sz w:val="18"/>
                <w:szCs w:val="24"/>
              </w:rPr>
              <w:t>目</w:t>
            </w:r>
            <w:r>
              <w:rPr>
                <w:rFonts w:ascii="宋体" w:hAnsi="宋体" w:cs="宋体" w:hint="eastAsia"/>
                <w:spacing w:val="7"/>
                <w:kern w:val="0"/>
                <w:sz w:val="18"/>
                <w:szCs w:val="24"/>
              </w:rPr>
              <w:t>绩</w:t>
            </w:r>
            <w:r>
              <w:rPr>
                <w:rFonts w:ascii="MS Mincho" w:eastAsia="MS Mincho" w:hAnsi="MS Mincho" w:cs="MS Mincho" w:hint="eastAsia"/>
                <w:spacing w:val="7"/>
                <w:kern w:val="0"/>
                <w:sz w:val="18"/>
                <w:szCs w:val="24"/>
              </w:rPr>
              <w:t>效</w:t>
            </w:r>
          </w:p>
        </w:tc>
        <w:tc>
          <w:tcPr>
            <w:tcW w:w="1654"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r>
              <w:rPr>
                <w:rFonts w:ascii="宋体" w:hAnsi="宋体" w:cs="宋体" w:hint="eastAsia"/>
                <w:spacing w:val="7"/>
                <w:kern w:val="0"/>
                <w:sz w:val="18"/>
                <w:szCs w:val="24"/>
              </w:rPr>
              <w:t>该项</w:t>
            </w:r>
            <w:r>
              <w:rPr>
                <w:rFonts w:ascii="MS Mincho" w:eastAsia="MS Mincho" w:hAnsi="MS Mincho" w:cs="MS Mincho" w:hint="eastAsia"/>
                <w:spacing w:val="7"/>
                <w:kern w:val="0"/>
                <w:sz w:val="18"/>
                <w:szCs w:val="24"/>
              </w:rPr>
              <w:t>目所</w:t>
            </w:r>
            <w:r>
              <w:rPr>
                <w:rFonts w:ascii="宋体" w:hAnsi="宋体" w:cs="宋体" w:hint="eastAsia"/>
                <w:spacing w:val="7"/>
                <w:kern w:val="0"/>
                <w:sz w:val="18"/>
                <w:szCs w:val="24"/>
              </w:rPr>
              <w:t>产</w:t>
            </w:r>
            <w:r>
              <w:rPr>
                <w:rFonts w:ascii="MS Mincho" w:eastAsia="MS Mincho" w:hAnsi="MS Mincho" w:cs="MS Mincho" w:hint="eastAsia"/>
                <w:spacing w:val="7"/>
                <w:kern w:val="0"/>
                <w:sz w:val="18"/>
                <w:szCs w:val="24"/>
              </w:rPr>
              <w:t>生的</w:t>
            </w:r>
            <w:r>
              <w:rPr>
                <w:rFonts w:ascii="宋体" w:hAnsi="宋体" w:cs="宋体" w:hint="eastAsia"/>
                <w:spacing w:val="7"/>
                <w:kern w:val="0"/>
                <w:sz w:val="18"/>
                <w:szCs w:val="24"/>
              </w:rPr>
              <w:t>绩</w:t>
            </w:r>
            <w:r>
              <w:rPr>
                <w:rFonts w:ascii="MS Mincho" w:eastAsia="MS Mincho" w:hAnsi="MS Mincho" w:cs="MS Mincho" w:hint="eastAsia"/>
                <w:spacing w:val="7"/>
                <w:kern w:val="0"/>
                <w:sz w:val="18"/>
                <w:szCs w:val="24"/>
              </w:rPr>
              <w:t>效（</w:t>
            </w:r>
            <w:r>
              <w:rPr>
                <w:rFonts w:ascii="宋体" w:hAnsi="宋体" w:cs="宋体" w:hint="eastAsia"/>
                <w:spacing w:val="7"/>
                <w:kern w:val="0"/>
                <w:sz w:val="18"/>
                <w:szCs w:val="24"/>
              </w:rPr>
              <w:t>经济</w:t>
            </w:r>
            <w:r>
              <w:rPr>
                <w:rFonts w:ascii="MS Mincho" w:eastAsia="MS Mincho" w:hAnsi="MS Mincho" w:cs="MS Mincho" w:hint="eastAsia"/>
                <w:spacing w:val="7"/>
                <w:kern w:val="0"/>
                <w:sz w:val="18"/>
                <w:szCs w:val="24"/>
              </w:rPr>
              <w:t>、社会、</w:t>
            </w:r>
            <w:r>
              <w:rPr>
                <w:rFonts w:ascii="宋体" w:hAnsi="宋体" w:cs="宋体" w:hint="eastAsia"/>
                <w:spacing w:val="7"/>
                <w:kern w:val="0"/>
                <w:sz w:val="18"/>
                <w:szCs w:val="24"/>
              </w:rPr>
              <w:t>环</w:t>
            </w:r>
            <w:r>
              <w:rPr>
                <w:rFonts w:ascii="MS Mincho" w:eastAsia="MS Mincho" w:hAnsi="MS Mincho" w:cs="MS Mincho" w:hint="eastAsia"/>
                <w:spacing w:val="7"/>
                <w:kern w:val="0"/>
                <w:sz w:val="18"/>
                <w:szCs w:val="24"/>
              </w:rPr>
              <w:t>保效益）</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r>
              <w:rPr>
                <w:rFonts w:ascii="??_GB2312" w:hAnsi="??_GB2312"/>
                <w:spacing w:val="7"/>
                <w:kern w:val="0"/>
                <w:sz w:val="18"/>
                <w:szCs w:val="24"/>
              </w:rPr>
              <w:t>取得很大效益</w:t>
            </w:r>
          </w:p>
        </w:tc>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r>
              <w:rPr>
                <w:rFonts w:ascii="??_GB2312" w:hAnsi="??_GB2312"/>
                <w:spacing w:val="7"/>
                <w:kern w:val="0"/>
                <w:sz w:val="18"/>
                <w:szCs w:val="24"/>
              </w:rPr>
              <w:t>20</w:t>
            </w:r>
          </w:p>
        </w:tc>
        <w:tc>
          <w:tcPr>
            <w:tcW w:w="7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r>
              <w:rPr>
                <w:rFonts w:ascii="??_GB2312" w:hAnsi="??_GB2312"/>
                <w:spacing w:val="7"/>
                <w:kern w:val="0"/>
                <w:sz w:val="18"/>
                <w:szCs w:val="24"/>
              </w:rPr>
              <w:t>20</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p>
        </w:tc>
      </w:tr>
      <w:tr w:rsidR="00D95D3B">
        <w:trPr>
          <w:trHeight w:val="624"/>
        </w:trPr>
        <w:tc>
          <w:tcPr>
            <w:tcW w:w="458" w:type="dxa"/>
            <w:vMerge/>
            <w:tcBorders>
              <w:top w:val="nil"/>
              <w:left w:val="single" w:sz="6" w:space="0" w:color="auto"/>
              <w:bottom w:val="nil"/>
              <w:right w:val="single" w:sz="4" w:space="0" w:color="auto"/>
            </w:tcBorders>
            <w:shd w:val="clear" w:color="auto" w:fill="FFFFFF"/>
            <w:vAlign w:val="center"/>
          </w:tcPr>
          <w:p w:rsidR="00D95D3B" w:rsidRDefault="00D95D3B">
            <w:pPr>
              <w:widowControl/>
              <w:jc w:val="left"/>
              <w:rPr>
                <w:rFonts w:ascii="??_GB2312" w:hAnsi="??_GB2312"/>
                <w:spacing w:val="7"/>
                <w:kern w:val="0"/>
                <w:sz w:val="24"/>
                <w:szCs w:val="24"/>
              </w:rPr>
            </w:pPr>
          </w:p>
        </w:tc>
        <w:tc>
          <w:tcPr>
            <w:tcW w:w="492" w:type="dxa"/>
            <w:vMerge/>
            <w:tcBorders>
              <w:top w:val="nil"/>
              <w:left w:val="single" w:sz="4" w:space="0" w:color="auto"/>
              <w:bottom w:val="nil"/>
              <w:right w:val="single" w:sz="4" w:space="0" w:color="auto"/>
            </w:tcBorders>
            <w:shd w:val="clear" w:color="auto" w:fill="FFFFFF"/>
            <w:vAlign w:val="center"/>
          </w:tcPr>
          <w:p w:rsidR="00D95D3B" w:rsidRDefault="00D95D3B">
            <w:pPr>
              <w:widowControl/>
              <w:jc w:val="left"/>
              <w:rPr>
                <w:rFonts w:ascii="??_GB2312" w:hAnsi="??_GB2312"/>
                <w:spacing w:val="7"/>
                <w:kern w:val="0"/>
                <w:sz w:val="24"/>
                <w:szCs w:val="24"/>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r>
              <w:rPr>
                <w:rFonts w:ascii="宋体" w:hAnsi="宋体" w:cs="宋体" w:hint="eastAsia"/>
                <w:spacing w:val="7"/>
                <w:kern w:val="0"/>
                <w:sz w:val="24"/>
                <w:szCs w:val="24"/>
              </w:rPr>
              <w:t>满</w:t>
            </w:r>
            <w:r>
              <w:rPr>
                <w:rFonts w:ascii="MS Mincho" w:eastAsia="MS Mincho" w:hAnsi="MS Mincho" w:cs="MS Mincho" w:hint="eastAsia"/>
                <w:spacing w:val="7"/>
                <w:kern w:val="0"/>
                <w:sz w:val="24"/>
                <w:szCs w:val="24"/>
              </w:rPr>
              <w:t>意度</w:t>
            </w:r>
          </w:p>
          <w:p w:rsidR="00D95D3B" w:rsidRDefault="00D95D3B">
            <w:pPr>
              <w:widowControl/>
              <w:wordWrap w:val="0"/>
              <w:spacing w:line="240" w:lineRule="atLeast"/>
              <w:jc w:val="center"/>
              <w:rPr>
                <w:rFonts w:ascii="??_GB2312" w:hAnsi="??_GB2312"/>
                <w:spacing w:val="7"/>
                <w:kern w:val="0"/>
                <w:sz w:val="24"/>
                <w:szCs w:val="24"/>
              </w:rPr>
            </w:pPr>
          </w:p>
        </w:tc>
        <w:tc>
          <w:tcPr>
            <w:tcW w:w="1470" w:type="dxa"/>
            <w:vMerge w:val="restart"/>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r>
              <w:rPr>
                <w:rFonts w:ascii="宋体" w:hAnsi="宋体" w:cs="宋体" w:hint="eastAsia"/>
                <w:spacing w:val="7"/>
                <w:kern w:val="0"/>
                <w:sz w:val="18"/>
                <w:szCs w:val="24"/>
              </w:rPr>
              <w:t>项</w:t>
            </w:r>
            <w:r>
              <w:rPr>
                <w:rFonts w:ascii="MS Mincho" w:eastAsia="MS Mincho" w:hAnsi="MS Mincho" w:cs="MS Mincho" w:hint="eastAsia"/>
                <w:spacing w:val="7"/>
                <w:kern w:val="0"/>
                <w:sz w:val="18"/>
                <w:szCs w:val="24"/>
              </w:rPr>
              <w:t>目</w:t>
            </w:r>
            <w:r>
              <w:rPr>
                <w:rFonts w:ascii="宋体" w:hAnsi="宋体" w:cs="宋体" w:hint="eastAsia"/>
                <w:spacing w:val="7"/>
                <w:kern w:val="0"/>
                <w:sz w:val="18"/>
                <w:szCs w:val="24"/>
              </w:rPr>
              <w:t>实</w:t>
            </w:r>
            <w:r>
              <w:rPr>
                <w:rFonts w:ascii="MS Mincho" w:eastAsia="MS Mincho" w:hAnsi="MS Mincho" w:cs="MS Mincho" w:hint="eastAsia"/>
                <w:spacing w:val="7"/>
                <w:kern w:val="0"/>
                <w:sz w:val="18"/>
                <w:szCs w:val="24"/>
              </w:rPr>
              <w:t>施相关</w:t>
            </w:r>
            <w:r>
              <w:rPr>
                <w:rFonts w:ascii="宋体" w:hAnsi="宋体" w:cs="宋体" w:hint="eastAsia"/>
                <w:spacing w:val="7"/>
                <w:kern w:val="0"/>
                <w:sz w:val="18"/>
                <w:szCs w:val="24"/>
              </w:rPr>
              <w:t>满</w:t>
            </w:r>
            <w:r>
              <w:rPr>
                <w:rFonts w:ascii="MS Mincho" w:eastAsia="MS Mincho" w:hAnsi="MS Mincho" w:cs="MS Mincho" w:hint="eastAsia"/>
                <w:spacing w:val="7"/>
                <w:kern w:val="0"/>
                <w:sz w:val="18"/>
                <w:szCs w:val="24"/>
              </w:rPr>
              <w:t>意度</w:t>
            </w:r>
          </w:p>
        </w:tc>
        <w:tc>
          <w:tcPr>
            <w:tcW w:w="1654" w:type="dxa"/>
            <w:vMerge w:val="restart"/>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r>
              <w:rPr>
                <w:rFonts w:ascii="??_GB2312" w:hAnsi="??_GB2312"/>
                <w:spacing w:val="7"/>
                <w:kern w:val="0"/>
                <w:sz w:val="18"/>
                <w:szCs w:val="24"/>
              </w:rPr>
              <w:t>管理人</w:t>
            </w:r>
            <w:r>
              <w:rPr>
                <w:rFonts w:ascii="宋体" w:hAnsi="宋体" w:cs="宋体" w:hint="eastAsia"/>
                <w:spacing w:val="7"/>
                <w:kern w:val="0"/>
                <w:sz w:val="18"/>
                <w:szCs w:val="24"/>
              </w:rPr>
              <w:t>员</w:t>
            </w:r>
            <w:r>
              <w:rPr>
                <w:rFonts w:ascii="MS Mincho" w:eastAsia="MS Mincho" w:hAnsi="MS Mincho" w:cs="MS Mincho" w:hint="eastAsia"/>
                <w:spacing w:val="7"/>
                <w:kern w:val="0"/>
                <w:sz w:val="18"/>
                <w:szCs w:val="24"/>
              </w:rPr>
              <w:t>和普通工作人</w:t>
            </w:r>
            <w:r>
              <w:rPr>
                <w:rFonts w:ascii="宋体" w:hAnsi="宋体" w:cs="宋体" w:hint="eastAsia"/>
                <w:spacing w:val="7"/>
                <w:kern w:val="0"/>
                <w:sz w:val="18"/>
                <w:szCs w:val="24"/>
              </w:rPr>
              <w:t>员对</w:t>
            </w:r>
            <w:r>
              <w:rPr>
                <w:rFonts w:ascii="MS Mincho" w:eastAsia="MS Mincho" w:hAnsi="MS Mincho" w:cs="MS Mincho" w:hint="eastAsia"/>
                <w:spacing w:val="7"/>
                <w:kern w:val="0"/>
                <w:sz w:val="18"/>
                <w:szCs w:val="24"/>
              </w:rPr>
              <w:t>改政策的</w:t>
            </w:r>
            <w:r>
              <w:rPr>
                <w:rFonts w:ascii="宋体" w:hAnsi="宋体" w:cs="宋体" w:hint="eastAsia"/>
                <w:spacing w:val="7"/>
                <w:kern w:val="0"/>
                <w:sz w:val="18"/>
                <w:szCs w:val="24"/>
              </w:rPr>
              <w:t>满</w:t>
            </w:r>
            <w:r>
              <w:rPr>
                <w:rFonts w:ascii="MS Mincho" w:eastAsia="MS Mincho" w:hAnsi="MS Mincho" w:cs="MS Mincho" w:hint="eastAsia"/>
                <w:spacing w:val="7"/>
                <w:kern w:val="0"/>
                <w:sz w:val="18"/>
                <w:szCs w:val="24"/>
              </w:rPr>
              <w:t>意度</w:t>
            </w:r>
          </w:p>
        </w:tc>
        <w:tc>
          <w:tcPr>
            <w:tcW w:w="1668" w:type="dxa"/>
            <w:vMerge w:val="restart"/>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r>
              <w:rPr>
                <w:rFonts w:ascii="宋体" w:hAnsi="宋体" w:cs="宋体" w:hint="eastAsia"/>
                <w:spacing w:val="7"/>
                <w:kern w:val="0"/>
                <w:sz w:val="18"/>
                <w:szCs w:val="24"/>
              </w:rPr>
              <w:t>满</w:t>
            </w:r>
            <w:r>
              <w:rPr>
                <w:rFonts w:ascii="MS Mincho" w:eastAsia="MS Mincho" w:hAnsi="MS Mincho" w:cs="MS Mincho" w:hint="eastAsia"/>
                <w:spacing w:val="7"/>
                <w:kern w:val="0"/>
                <w:sz w:val="18"/>
                <w:szCs w:val="24"/>
              </w:rPr>
              <w:t>意度达到</w:t>
            </w:r>
            <w:r>
              <w:rPr>
                <w:rFonts w:ascii="??_GB2312" w:hAnsi="??_GB2312"/>
                <w:spacing w:val="7"/>
                <w:kern w:val="0"/>
                <w:sz w:val="18"/>
                <w:szCs w:val="24"/>
              </w:rPr>
              <w:t>85%</w:t>
            </w:r>
            <w:r>
              <w:rPr>
                <w:rFonts w:ascii="??_GB2312" w:hAnsi="??_GB2312"/>
                <w:spacing w:val="7"/>
                <w:kern w:val="0"/>
                <w:sz w:val="18"/>
                <w:szCs w:val="24"/>
              </w:rPr>
              <w:t>以上</w:t>
            </w:r>
          </w:p>
        </w:tc>
        <w:tc>
          <w:tcPr>
            <w:tcW w:w="825" w:type="dxa"/>
            <w:vMerge w:val="restart"/>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r>
              <w:rPr>
                <w:rFonts w:ascii="??_GB2312" w:hAnsi="??_GB2312"/>
                <w:spacing w:val="7"/>
                <w:kern w:val="0"/>
                <w:sz w:val="18"/>
                <w:szCs w:val="24"/>
              </w:rPr>
              <w:t>20</w:t>
            </w:r>
          </w:p>
        </w:tc>
        <w:tc>
          <w:tcPr>
            <w:tcW w:w="767" w:type="dxa"/>
            <w:gridSpan w:val="2"/>
            <w:vMerge w:val="restart"/>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r>
              <w:rPr>
                <w:rFonts w:ascii="??_GB2312" w:hAnsi="??_GB2312"/>
                <w:spacing w:val="7"/>
                <w:kern w:val="0"/>
                <w:sz w:val="18"/>
                <w:szCs w:val="24"/>
              </w:rPr>
              <w:t>20</w:t>
            </w:r>
          </w:p>
        </w:tc>
        <w:tc>
          <w:tcPr>
            <w:tcW w:w="838" w:type="dxa"/>
            <w:vMerge w:val="restart"/>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p>
        </w:tc>
      </w:tr>
      <w:tr w:rsidR="00D95D3B">
        <w:trPr>
          <w:trHeight w:val="300"/>
        </w:trPr>
        <w:tc>
          <w:tcPr>
            <w:tcW w:w="458" w:type="dxa"/>
            <w:tcBorders>
              <w:top w:val="nil"/>
              <w:left w:val="single" w:sz="6" w:space="0" w:color="auto"/>
              <w:bottom w:val="single" w:sz="4" w:space="0" w:color="auto"/>
              <w:right w:val="single" w:sz="4" w:space="0" w:color="auto"/>
            </w:tcBorders>
            <w:shd w:val="clear" w:color="auto" w:fill="FFFFFF"/>
            <w:vAlign w:val="center"/>
          </w:tcPr>
          <w:p w:rsidR="00D95D3B" w:rsidRDefault="00D95D3B">
            <w:pPr>
              <w:widowControl/>
              <w:jc w:val="left"/>
              <w:rPr>
                <w:rFonts w:ascii="??_GB2312" w:hAnsi="??_GB2312"/>
                <w:spacing w:val="7"/>
                <w:kern w:val="0"/>
                <w:sz w:val="24"/>
                <w:szCs w:val="24"/>
              </w:rPr>
            </w:pPr>
          </w:p>
        </w:tc>
        <w:tc>
          <w:tcPr>
            <w:tcW w:w="492" w:type="dxa"/>
            <w:vMerge/>
            <w:tcBorders>
              <w:top w:val="nil"/>
              <w:left w:val="single" w:sz="4" w:space="0" w:color="auto"/>
              <w:bottom w:val="single" w:sz="4" w:space="0" w:color="auto"/>
              <w:right w:val="single" w:sz="4" w:space="0" w:color="auto"/>
            </w:tcBorders>
            <w:shd w:val="clear" w:color="auto" w:fill="FFFFFF"/>
            <w:vAlign w:val="center"/>
          </w:tcPr>
          <w:p w:rsidR="00D95D3B" w:rsidRDefault="00D95D3B">
            <w:pPr>
              <w:widowControl/>
              <w:jc w:val="left"/>
              <w:rPr>
                <w:rFonts w:ascii="??_GB2312" w:hAnsi="??_GB2312"/>
                <w:spacing w:val="7"/>
                <w:kern w:val="0"/>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spacing w:line="240" w:lineRule="atLeast"/>
              <w:jc w:val="center"/>
              <w:rPr>
                <w:rFonts w:ascii="??_GB2312" w:hAnsi="??_GB2312"/>
                <w:spacing w:val="7"/>
                <w:kern w:val="0"/>
                <w:sz w:val="24"/>
                <w:szCs w:val="24"/>
              </w:rPr>
            </w:pPr>
          </w:p>
        </w:tc>
        <w:tc>
          <w:tcPr>
            <w:tcW w:w="1470" w:type="dxa"/>
            <w:vMerge/>
            <w:tcBorders>
              <w:top w:val="nil"/>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p>
        </w:tc>
        <w:tc>
          <w:tcPr>
            <w:tcW w:w="1654" w:type="dxa"/>
            <w:vMerge/>
            <w:tcBorders>
              <w:top w:val="nil"/>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p>
        </w:tc>
        <w:tc>
          <w:tcPr>
            <w:tcW w:w="1668" w:type="dxa"/>
            <w:vMerge/>
            <w:tcBorders>
              <w:top w:val="nil"/>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p>
        </w:tc>
        <w:tc>
          <w:tcPr>
            <w:tcW w:w="825" w:type="dxa"/>
            <w:vMerge/>
            <w:tcBorders>
              <w:top w:val="nil"/>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p>
        </w:tc>
        <w:tc>
          <w:tcPr>
            <w:tcW w:w="767" w:type="dxa"/>
            <w:gridSpan w:val="2"/>
            <w:vMerge/>
            <w:tcBorders>
              <w:top w:val="nil"/>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p>
        </w:tc>
        <w:tc>
          <w:tcPr>
            <w:tcW w:w="838" w:type="dxa"/>
            <w:vMerge/>
            <w:tcBorders>
              <w:top w:val="nil"/>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p>
        </w:tc>
      </w:tr>
      <w:tr w:rsidR="00D95D3B">
        <w:trPr>
          <w:trHeight w:val="300"/>
        </w:trPr>
        <w:tc>
          <w:tcPr>
            <w:tcW w:w="6735" w:type="dxa"/>
            <w:gridSpan w:val="6"/>
            <w:tcBorders>
              <w:top w:val="single" w:sz="4" w:space="0" w:color="auto"/>
              <w:left w:val="single" w:sz="6" w:space="0" w:color="auto"/>
              <w:bottom w:val="single" w:sz="4" w:space="0" w:color="auto"/>
              <w:right w:val="single" w:sz="4" w:space="0" w:color="auto"/>
            </w:tcBorders>
            <w:shd w:val="clear" w:color="auto" w:fill="FFFFFF"/>
            <w:vAlign w:val="center"/>
          </w:tcPr>
          <w:p w:rsidR="00D95D3B" w:rsidRDefault="00D95D3B">
            <w:pPr>
              <w:widowControl/>
              <w:wordWrap w:val="0"/>
              <w:jc w:val="center"/>
              <w:rPr>
                <w:rFonts w:ascii="??_GB2312" w:hAnsi="??_GB2312"/>
                <w:spacing w:val="7"/>
                <w:kern w:val="0"/>
                <w:sz w:val="18"/>
                <w:szCs w:val="24"/>
              </w:rPr>
            </w:pPr>
            <w:r>
              <w:rPr>
                <w:rFonts w:ascii="宋体" w:hAnsi="宋体" w:cs="宋体" w:hint="eastAsia"/>
                <w:spacing w:val="7"/>
                <w:kern w:val="0"/>
                <w:sz w:val="18"/>
                <w:szCs w:val="24"/>
              </w:rPr>
              <w:t>总</w:t>
            </w:r>
            <w:r>
              <w:rPr>
                <w:rFonts w:ascii="MS Mincho" w:eastAsia="MS Mincho" w:hAnsi="MS Mincho" w:cs="MS Mincho" w:hint="eastAsia"/>
                <w:spacing w:val="7"/>
                <w:kern w:val="0"/>
                <w:sz w:val="18"/>
                <w:szCs w:val="24"/>
              </w:rPr>
              <w:t>分</w:t>
            </w:r>
          </w:p>
        </w:tc>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p>
        </w:tc>
        <w:tc>
          <w:tcPr>
            <w:tcW w:w="7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r>
              <w:rPr>
                <w:rFonts w:ascii="??_GB2312" w:hAnsi="??_GB2312"/>
                <w:spacing w:val="7"/>
                <w:kern w:val="0"/>
                <w:sz w:val="18"/>
                <w:szCs w:val="24"/>
              </w:rPr>
              <w:t>100</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_GB2312" w:hAnsi="??_GB2312"/>
                <w:spacing w:val="7"/>
                <w:kern w:val="0"/>
                <w:sz w:val="18"/>
                <w:szCs w:val="24"/>
              </w:rPr>
            </w:pPr>
          </w:p>
        </w:tc>
      </w:tr>
    </w:tbl>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2"/>
        <w:gridCol w:w="2179"/>
        <w:gridCol w:w="5103"/>
      </w:tblGrid>
      <w:tr w:rsidR="00D95D3B">
        <w:trPr>
          <w:trHeight w:val="1189"/>
        </w:trPr>
        <w:tc>
          <w:tcPr>
            <w:tcW w:w="1932" w:type="dxa"/>
          </w:tcPr>
          <w:p w:rsidR="00D95D3B" w:rsidRDefault="00D95D3B">
            <w:pPr>
              <w:jc w:val="center"/>
              <w:rPr>
                <w:rFonts w:ascii="??_GB2312" w:hAnsi="??_GB2312"/>
                <w:spacing w:val="7"/>
                <w:kern w:val="0"/>
                <w:sz w:val="24"/>
                <w:szCs w:val="24"/>
              </w:rPr>
            </w:pPr>
            <w:r>
              <w:rPr>
                <w:rFonts w:ascii="??_GB2312" w:hAnsi="??_GB2312"/>
                <w:spacing w:val="7"/>
                <w:kern w:val="0"/>
                <w:sz w:val="24"/>
                <w:szCs w:val="24"/>
              </w:rPr>
              <w:lastRenderedPageBreak/>
              <w:t>自</w:t>
            </w:r>
            <w:r>
              <w:rPr>
                <w:rFonts w:ascii="宋体" w:hAnsi="宋体" w:cs="宋体" w:hint="eastAsia"/>
                <w:spacing w:val="7"/>
                <w:kern w:val="0"/>
                <w:sz w:val="24"/>
                <w:szCs w:val="24"/>
              </w:rPr>
              <w:t>评结论</w:t>
            </w:r>
          </w:p>
        </w:tc>
        <w:tc>
          <w:tcPr>
            <w:tcW w:w="2179" w:type="dxa"/>
          </w:tcPr>
          <w:p w:rsidR="00D95D3B" w:rsidRDefault="00D95D3B">
            <w:pPr>
              <w:jc w:val="center"/>
              <w:rPr>
                <w:rFonts w:ascii="??_GB2312" w:hAnsi="??_GB2312"/>
                <w:spacing w:val="7"/>
                <w:kern w:val="0"/>
                <w:sz w:val="24"/>
                <w:szCs w:val="24"/>
              </w:rPr>
            </w:pPr>
            <w:r>
              <w:rPr>
                <w:rFonts w:ascii="宋体" w:hAnsi="宋体" w:cs="宋体" w:hint="eastAsia"/>
                <w:spacing w:val="7"/>
                <w:kern w:val="0"/>
                <w:sz w:val="24"/>
                <w:szCs w:val="24"/>
              </w:rPr>
              <w:t>优</w:t>
            </w:r>
          </w:p>
        </w:tc>
        <w:tc>
          <w:tcPr>
            <w:tcW w:w="5103" w:type="dxa"/>
          </w:tcPr>
          <w:p w:rsidR="00D95D3B" w:rsidRDefault="00D95D3B">
            <w:pPr>
              <w:rPr>
                <w:rFonts w:eastAsia="Times New Roman"/>
                <w:szCs w:val="24"/>
              </w:rPr>
            </w:pPr>
            <w:r>
              <w:rPr>
                <w:rFonts w:ascii="宋体" w:hAnsi="宋体" w:cs="宋体" w:hint="eastAsia"/>
                <w:color w:val="000000"/>
                <w:kern w:val="0"/>
                <w:szCs w:val="24"/>
              </w:rPr>
              <w:t>总</w:t>
            </w:r>
            <w:r>
              <w:rPr>
                <w:rFonts w:ascii="MS Mincho" w:eastAsia="MS Mincho" w:hAnsi="MS Mincho" w:cs="MS Mincho" w:hint="eastAsia"/>
                <w:color w:val="000000"/>
                <w:kern w:val="0"/>
                <w:szCs w:val="24"/>
              </w:rPr>
              <w:t>分高于</w:t>
            </w:r>
            <w:r>
              <w:rPr>
                <w:rFonts w:ascii="??_GB2312" w:hAnsi="??_GB2312"/>
                <w:color w:val="000000"/>
                <w:kern w:val="0"/>
                <w:szCs w:val="24"/>
              </w:rPr>
              <w:t>90</w:t>
            </w:r>
            <w:r>
              <w:rPr>
                <w:rFonts w:ascii="??_GB2312" w:hAnsi="??_GB2312"/>
                <w:color w:val="000000"/>
                <w:kern w:val="0"/>
                <w:szCs w:val="24"/>
              </w:rPr>
              <w:t>分（含）的</w:t>
            </w:r>
            <w:r>
              <w:rPr>
                <w:rFonts w:ascii="宋体" w:hAnsi="宋体" w:cs="宋体" w:hint="eastAsia"/>
                <w:color w:val="000000"/>
                <w:kern w:val="0"/>
                <w:szCs w:val="24"/>
              </w:rPr>
              <w:t>结论为</w:t>
            </w:r>
            <w:r>
              <w:rPr>
                <w:rFonts w:ascii="MS Mincho" w:eastAsia="MS Mincho" w:hAnsi="MS Mincho" w:cs="MS Mincho" w:hint="eastAsia"/>
                <w:color w:val="000000"/>
                <w:kern w:val="0"/>
                <w:szCs w:val="24"/>
              </w:rPr>
              <w:t>“</w:t>
            </w:r>
            <w:r>
              <w:rPr>
                <w:rFonts w:ascii="宋体" w:hAnsi="宋体" w:cs="宋体" w:hint="eastAsia"/>
                <w:color w:val="000000"/>
                <w:kern w:val="0"/>
                <w:szCs w:val="24"/>
              </w:rPr>
              <w:t>优</w:t>
            </w:r>
            <w:r>
              <w:rPr>
                <w:rFonts w:ascii="MS Mincho" w:eastAsia="MS Mincho" w:hAnsi="MS Mincho" w:cs="MS Mincho" w:hint="eastAsia"/>
                <w:color w:val="000000"/>
                <w:kern w:val="0"/>
                <w:szCs w:val="24"/>
              </w:rPr>
              <w:t>”，</w:t>
            </w:r>
            <w:r>
              <w:rPr>
                <w:rFonts w:ascii="??_GB2312" w:hAnsi="??_GB2312"/>
                <w:color w:val="000000"/>
                <w:kern w:val="0"/>
                <w:szCs w:val="24"/>
              </w:rPr>
              <w:t>90</w:t>
            </w:r>
            <w:r>
              <w:rPr>
                <w:rFonts w:ascii="??_GB2312" w:hAnsi="??_GB2312"/>
                <w:color w:val="000000"/>
                <w:kern w:val="0"/>
                <w:szCs w:val="24"/>
              </w:rPr>
              <w:t>～</w:t>
            </w:r>
            <w:r>
              <w:rPr>
                <w:rFonts w:ascii="??_GB2312" w:hAnsi="??_GB2312"/>
                <w:color w:val="000000"/>
                <w:kern w:val="0"/>
                <w:szCs w:val="24"/>
              </w:rPr>
              <w:t>80</w:t>
            </w:r>
            <w:r>
              <w:rPr>
                <w:rFonts w:ascii="??_GB2312" w:hAnsi="??_GB2312"/>
                <w:color w:val="000000"/>
                <w:kern w:val="0"/>
                <w:szCs w:val="24"/>
              </w:rPr>
              <w:t>分（含）</w:t>
            </w:r>
            <w:r>
              <w:rPr>
                <w:rFonts w:ascii="宋体" w:hAnsi="宋体" w:cs="宋体" w:hint="eastAsia"/>
                <w:color w:val="000000"/>
                <w:kern w:val="0"/>
                <w:szCs w:val="24"/>
              </w:rPr>
              <w:t>为</w:t>
            </w:r>
            <w:r>
              <w:rPr>
                <w:rFonts w:ascii="MS Mincho" w:eastAsia="MS Mincho" w:hAnsi="MS Mincho" w:cs="MS Mincho" w:hint="eastAsia"/>
                <w:color w:val="000000"/>
                <w:kern w:val="0"/>
                <w:szCs w:val="24"/>
              </w:rPr>
              <w:t>“良”，</w:t>
            </w:r>
            <w:r>
              <w:rPr>
                <w:rFonts w:ascii="??_GB2312" w:hAnsi="??_GB2312"/>
                <w:color w:val="000000"/>
                <w:kern w:val="0"/>
                <w:szCs w:val="24"/>
              </w:rPr>
              <w:t>80</w:t>
            </w:r>
            <w:r>
              <w:rPr>
                <w:rFonts w:ascii="??_GB2312" w:hAnsi="??_GB2312"/>
                <w:color w:val="000000"/>
                <w:kern w:val="0"/>
                <w:szCs w:val="24"/>
              </w:rPr>
              <w:t>～</w:t>
            </w:r>
            <w:r>
              <w:rPr>
                <w:rFonts w:ascii="??_GB2312" w:hAnsi="??_GB2312"/>
                <w:color w:val="000000"/>
                <w:kern w:val="0"/>
                <w:szCs w:val="24"/>
              </w:rPr>
              <w:t>60</w:t>
            </w:r>
            <w:r>
              <w:rPr>
                <w:rFonts w:ascii="??_GB2312" w:hAnsi="??_GB2312"/>
                <w:color w:val="000000"/>
                <w:kern w:val="0"/>
                <w:szCs w:val="24"/>
              </w:rPr>
              <w:t>分（含）</w:t>
            </w:r>
            <w:r>
              <w:rPr>
                <w:rFonts w:ascii="宋体" w:hAnsi="宋体" w:cs="宋体" w:hint="eastAsia"/>
                <w:color w:val="000000"/>
                <w:kern w:val="0"/>
                <w:szCs w:val="24"/>
              </w:rPr>
              <w:t>为</w:t>
            </w:r>
            <w:r>
              <w:rPr>
                <w:rFonts w:ascii="MS Mincho" w:eastAsia="MS Mincho" w:hAnsi="MS Mincho" w:cs="MS Mincho" w:hint="eastAsia"/>
                <w:color w:val="000000"/>
                <w:kern w:val="0"/>
                <w:szCs w:val="24"/>
              </w:rPr>
              <w:t>“中”，低于</w:t>
            </w:r>
            <w:r>
              <w:rPr>
                <w:rFonts w:ascii="??_GB2312" w:hAnsi="??_GB2312"/>
                <w:color w:val="000000"/>
                <w:kern w:val="0"/>
                <w:szCs w:val="24"/>
              </w:rPr>
              <w:t>60</w:t>
            </w:r>
            <w:r>
              <w:rPr>
                <w:rFonts w:ascii="??_GB2312" w:hAnsi="??_GB2312"/>
                <w:color w:val="000000"/>
                <w:kern w:val="0"/>
                <w:szCs w:val="24"/>
              </w:rPr>
              <w:t>分</w:t>
            </w:r>
            <w:r>
              <w:rPr>
                <w:rFonts w:ascii="宋体" w:hAnsi="宋体" w:cs="宋体" w:hint="eastAsia"/>
                <w:color w:val="000000"/>
                <w:kern w:val="0"/>
                <w:szCs w:val="24"/>
              </w:rPr>
              <w:t>为</w:t>
            </w:r>
            <w:r>
              <w:rPr>
                <w:rFonts w:ascii="MS Mincho" w:eastAsia="MS Mincho" w:hAnsi="MS Mincho" w:cs="MS Mincho" w:hint="eastAsia"/>
                <w:color w:val="000000"/>
                <w:kern w:val="0"/>
                <w:szCs w:val="24"/>
              </w:rPr>
              <w:t>“差”。</w:t>
            </w:r>
          </w:p>
        </w:tc>
      </w:tr>
    </w:tbl>
    <w:p w:rsidR="00D95D3B" w:rsidRDefault="00D95D3B">
      <w:pPr>
        <w:spacing w:line="520" w:lineRule="exact"/>
        <w:ind w:firstLineChars="192" w:firstLine="614"/>
        <w:rPr>
          <w:rFonts w:ascii="仿宋" w:eastAsia="仿宋" w:hAnsi="Times New Roman"/>
          <w:color w:val="000000"/>
          <w:sz w:val="32"/>
          <w:szCs w:val="24"/>
          <w:highlight w:val="white"/>
        </w:rPr>
      </w:pPr>
    </w:p>
    <w:p w:rsidR="00D95D3B" w:rsidRDefault="00D95D3B">
      <w:pPr>
        <w:ind w:firstLineChars="200" w:firstLine="640"/>
        <w:rPr>
          <w:rFonts w:ascii="仿宋" w:eastAsia="仿宋" w:hAnsi="Times New Roman"/>
          <w:color w:val="000000"/>
          <w:sz w:val="32"/>
          <w:szCs w:val="24"/>
          <w:highlight w:val="white"/>
        </w:rPr>
      </w:pPr>
      <w:r>
        <w:rPr>
          <w:rFonts w:ascii="仿宋" w:eastAsia="仿宋" w:hAnsi="Times New Roman" w:hint="eastAsia"/>
          <w:color w:val="000000"/>
          <w:sz w:val="32"/>
          <w:szCs w:val="24"/>
          <w:highlight w:val="white"/>
        </w:rPr>
        <w:t>“雪亮工程”项目绩效自评综述：根据年初设定的绩效目标，项目自评得分</w:t>
      </w:r>
      <w:r>
        <w:rPr>
          <w:rFonts w:ascii="仿宋" w:eastAsia="仿宋" w:hAnsi="Times New Roman"/>
          <w:color w:val="000000"/>
          <w:sz w:val="32"/>
          <w:szCs w:val="24"/>
          <w:highlight w:val="white"/>
        </w:rPr>
        <w:t>100</w:t>
      </w:r>
      <w:r>
        <w:rPr>
          <w:rFonts w:ascii="仿宋" w:eastAsia="仿宋" w:hAnsi="Times New Roman" w:hint="eastAsia"/>
          <w:color w:val="000000"/>
          <w:sz w:val="32"/>
          <w:szCs w:val="24"/>
          <w:highlight w:val="white"/>
        </w:rPr>
        <w:t>分，自评结论为</w:t>
      </w:r>
      <w:r>
        <w:rPr>
          <w:rFonts w:ascii="Times New Roman" w:eastAsia="仿宋" w:hAnsi="Times New Roman"/>
          <w:color w:val="000000"/>
          <w:sz w:val="32"/>
          <w:szCs w:val="24"/>
          <w:highlight w:val="white"/>
        </w:rPr>
        <w:t>“</w:t>
      </w:r>
      <w:r>
        <w:rPr>
          <w:rFonts w:ascii="仿宋" w:eastAsia="仿宋" w:hAnsi="Times New Roman" w:hint="eastAsia"/>
          <w:color w:val="000000"/>
          <w:sz w:val="32"/>
          <w:szCs w:val="24"/>
          <w:highlight w:val="white"/>
        </w:rPr>
        <w:t>优</w:t>
      </w:r>
      <w:r>
        <w:rPr>
          <w:rFonts w:ascii="Times New Roman" w:eastAsia="仿宋" w:hAnsi="Times New Roman"/>
          <w:color w:val="000000"/>
          <w:sz w:val="32"/>
          <w:szCs w:val="24"/>
          <w:highlight w:val="white"/>
        </w:rPr>
        <w:t>”</w:t>
      </w:r>
      <w:r>
        <w:rPr>
          <w:rFonts w:ascii="仿宋" w:eastAsia="仿宋" w:hAnsi="Times New Roman" w:hint="eastAsia"/>
          <w:color w:val="000000"/>
          <w:sz w:val="32"/>
          <w:szCs w:val="24"/>
          <w:highlight w:val="white"/>
        </w:rPr>
        <w:t>。项目全年预算数为</w:t>
      </w:r>
      <w:r>
        <w:rPr>
          <w:rFonts w:ascii="仿宋" w:eastAsia="仿宋" w:hAnsi="Times New Roman"/>
          <w:color w:val="000000"/>
          <w:sz w:val="32"/>
          <w:szCs w:val="24"/>
          <w:highlight w:val="white"/>
        </w:rPr>
        <w:t>1900</w:t>
      </w:r>
      <w:r>
        <w:rPr>
          <w:rFonts w:ascii="仿宋" w:eastAsia="仿宋" w:hAnsi="Times New Roman" w:hint="eastAsia"/>
          <w:color w:val="000000"/>
          <w:sz w:val="32"/>
          <w:szCs w:val="24"/>
          <w:highlight w:val="white"/>
        </w:rPr>
        <w:t>万元，执行数为</w:t>
      </w:r>
      <w:r>
        <w:rPr>
          <w:rFonts w:ascii="仿宋" w:eastAsia="仿宋" w:hAnsi="Times New Roman"/>
          <w:color w:val="000000"/>
          <w:sz w:val="32"/>
          <w:szCs w:val="24"/>
          <w:highlight w:val="white"/>
        </w:rPr>
        <w:t>1768.125</w:t>
      </w:r>
      <w:r>
        <w:rPr>
          <w:rFonts w:ascii="仿宋" w:eastAsia="仿宋" w:hAnsi="Times New Roman" w:hint="eastAsia"/>
          <w:color w:val="000000"/>
          <w:sz w:val="32"/>
          <w:szCs w:val="24"/>
          <w:highlight w:val="white"/>
        </w:rPr>
        <w:t>万元，完成预算的</w:t>
      </w:r>
      <w:r>
        <w:rPr>
          <w:rFonts w:ascii="仿宋" w:eastAsia="仿宋" w:hAnsi="Times New Roman"/>
          <w:color w:val="000000"/>
          <w:sz w:val="32"/>
          <w:szCs w:val="24"/>
          <w:highlight w:val="white"/>
        </w:rPr>
        <w:t>93.06%</w:t>
      </w:r>
      <w:r>
        <w:rPr>
          <w:rFonts w:ascii="仿宋" w:eastAsia="仿宋" w:hAnsi="Times New Roman" w:hint="eastAsia"/>
          <w:color w:val="000000"/>
          <w:sz w:val="32"/>
          <w:szCs w:val="24"/>
          <w:highlight w:val="white"/>
        </w:rPr>
        <w:t>。项目绩效目标完成情况：一是业务方面：严格执行在规定的经费开支范围内使用视频监控系统租赁经费，专款专用，绝不挤占和挪用。二是财务方面：这笔款项由财政局划拨给我局警务保障室，资金落实及时到位；实际支出符合规范；会计信息真实、完整和及时；财务管理制度健全，资金管理有效，实行专项管理，项目重大支出审批程序完备，严格执行招投标、政府采购等有关制度。三是效益明显：视频监控系统租赁费用于支付运营商建设的视频监控系统日常运行，视频监控覆盖到全县各乡镇街道和各行政村庄，提升了公安机关和政府部门的社会治安管控能力，有效增强群众安全感提高了群众满意度，具有良好的综合效益。发现的问题及原因：当前，视频监控系统作为一种成熟可靠的技术手段，在打击犯罪、维护社会稳定发挥出重大的作用。但随着犯罪分子反侦查意识的提高、视频监控体系的不断完善，视频监控系统作为公安机关的眼睛，不仅要从“看得见”到“看得清”的视力升级，更需要从“看得准”到“看得懂”的智力飞跃。全县视频监控覆盖面尚有提升空间，视频监控主要集中在重点集镇、重要路段和人员集中的重要区域，偏远乡村和水域、山林等地域偏点位少，不能覆盖广大农村区域；另外视频监控智能化水平偏低，人脸抓拍、车辆智能分析以及视频结构化的设备还没有形成严密的圈层防控体系，需要进一步加大覆盖范围，形成规模应用。下一步改进措施：一是需要增加全县视频监控点位的覆盖面，加大对农村区域的治安监控盲区的增点扩面；二是要在视频监控建设中，提高前</w:t>
      </w:r>
      <w:r>
        <w:rPr>
          <w:rFonts w:ascii="仿宋" w:eastAsia="仿宋" w:hAnsi="Times New Roman" w:hint="eastAsia"/>
          <w:color w:val="000000"/>
          <w:sz w:val="32"/>
          <w:szCs w:val="24"/>
          <w:highlight w:val="white"/>
        </w:rPr>
        <w:lastRenderedPageBreak/>
        <w:t>端感知设备的智能化，充分利用人像比对、车辆识别等技术，将前端感知设备抓取到的人像、车牌等动态信息，通过相关数据比对分析，实时地感知潜在风险，提高社会面管控能力，实现对重点人、车辆、事件的智能化精确化预警管控。</w:t>
      </w:r>
    </w:p>
    <w:tbl>
      <w:tblPr>
        <w:tblpPr w:leftFromText="180" w:rightFromText="180" w:vertAnchor="text" w:horzAnchor="page" w:tblpXSpec="center" w:tblpY="-687"/>
        <w:tblOverlap w:val="never"/>
        <w:tblW w:w="0" w:type="auto"/>
        <w:jc w:val="center"/>
        <w:tblLayout w:type="fixed"/>
        <w:tblCellMar>
          <w:left w:w="0" w:type="dxa"/>
          <w:right w:w="0" w:type="dxa"/>
        </w:tblCellMar>
        <w:tblLook w:val="0000" w:firstRow="0" w:lastRow="0" w:firstColumn="0" w:lastColumn="0" w:noHBand="0" w:noVBand="0"/>
      </w:tblPr>
      <w:tblGrid>
        <w:gridCol w:w="458"/>
        <w:gridCol w:w="492"/>
        <w:gridCol w:w="993"/>
        <w:gridCol w:w="1470"/>
        <w:gridCol w:w="1654"/>
        <w:gridCol w:w="1668"/>
        <w:gridCol w:w="825"/>
        <w:gridCol w:w="600"/>
        <w:gridCol w:w="167"/>
        <w:gridCol w:w="838"/>
      </w:tblGrid>
      <w:tr w:rsidR="00D95D3B">
        <w:trPr>
          <w:trHeight w:val="450"/>
          <w:jc w:val="center"/>
        </w:trPr>
        <w:tc>
          <w:tcPr>
            <w:tcW w:w="9165" w:type="dxa"/>
            <w:gridSpan w:val="10"/>
            <w:tcBorders>
              <w:top w:val="nil"/>
              <w:left w:val="nil"/>
              <w:bottom w:val="nil"/>
              <w:right w:val="nil"/>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微软雅黑" w:eastAsia="微软雅黑" w:hAnsi="微软雅黑"/>
                <w:spacing w:val="7"/>
                <w:kern w:val="0"/>
                <w:sz w:val="28"/>
                <w:szCs w:val="24"/>
              </w:rPr>
            </w:pPr>
            <w:r>
              <w:rPr>
                <w:rFonts w:ascii="宋体" w:hAnsi="宋体" w:cs="宋体" w:hint="eastAsia"/>
                <w:spacing w:val="7"/>
                <w:kern w:val="0"/>
                <w:sz w:val="44"/>
                <w:szCs w:val="24"/>
              </w:rPr>
              <w:lastRenderedPageBreak/>
              <w:t>项目支出绩效自评表</w:t>
            </w:r>
          </w:p>
        </w:tc>
      </w:tr>
      <w:tr w:rsidR="00D95D3B">
        <w:trPr>
          <w:trHeight w:val="504"/>
          <w:jc w:val="center"/>
        </w:trPr>
        <w:tc>
          <w:tcPr>
            <w:tcW w:w="9165" w:type="dxa"/>
            <w:gridSpan w:val="10"/>
            <w:tcBorders>
              <w:top w:val="nil"/>
              <w:left w:val="nil"/>
              <w:bottom w:val="nil"/>
              <w:right w:val="nil"/>
            </w:tcBorders>
            <w:shd w:val="clear" w:color="auto" w:fill="FFFFFF"/>
            <w:tcMar>
              <w:top w:w="0" w:type="dxa"/>
              <w:left w:w="105" w:type="dxa"/>
              <w:bottom w:w="0" w:type="dxa"/>
              <w:right w:w="105" w:type="dxa"/>
            </w:tcMar>
          </w:tcPr>
          <w:p w:rsidR="00D95D3B" w:rsidRDefault="00D95D3B">
            <w:pPr>
              <w:widowControl/>
              <w:wordWrap w:val="0"/>
              <w:jc w:val="center"/>
              <w:rPr>
                <w:rFonts w:ascii="宋体"/>
                <w:spacing w:val="7"/>
                <w:kern w:val="0"/>
                <w:sz w:val="18"/>
                <w:szCs w:val="24"/>
              </w:rPr>
            </w:pPr>
            <w:r>
              <w:rPr>
                <w:rFonts w:ascii="宋体" w:hAnsi="宋体" w:hint="eastAsia"/>
                <w:spacing w:val="7"/>
                <w:kern w:val="0"/>
                <w:sz w:val="18"/>
                <w:szCs w:val="24"/>
              </w:rPr>
              <w:t>（</w:t>
            </w:r>
            <w:r>
              <w:rPr>
                <w:rFonts w:ascii="宋体" w:hAnsi="宋体"/>
                <w:spacing w:val="7"/>
                <w:kern w:val="0"/>
                <w:sz w:val="18"/>
                <w:szCs w:val="24"/>
              </w:rPr>
              <w:t xml:space="preserve"> 2022</w:t>
            </w:r>
            <w:r>
              <w:rPr>
                <w:rFonts w:ascii="宋体" w:hAnsi="宋体" w:hint="eastAsia"/>
                <w:spacing w:val="7"/>
                <w:kern w:val="0"/>
                <w:sz w:val="18"/>
                <w:szCs w:val="24"/>
              </w:rPr>
              <w:t>年度）</w:t>
            </w:r>
          </w:p>
          <w:p w:rsidR="00D95D3B" w:rsidRDefault="00D95D3B">
            <w:pPr>
              <w:widowControl/>
              <w:wordWrap w:val="0"/>
              <w:jc w:val="center"/>
              <w:rPr>
                <w:rFonts w:ascii="宋体"/>
                <w:spacing w:val="7"/>
                <w:kern w:val="0"/>
                <w:sz w:val="18"/>
                <w:szCs w:val="24"/>
              </w:rPr>
            </w:pPr>
          </w:p>
        </w:tc>
      </w:tr>
      <w:tr w:rsidR="00D95D3B">
        <w:trPr>
          <w:trHeight w:val="976"/>
          <w:jc w:val="center"/>
        </w:trPr>
        <w:tc>
          <w:tcPr>
            <w:tcW w:w="950" w:type="dxa"/>
            <w:gridSpan w:val="2"/>
            <w:tcBorders>
              <w:top w:val="single" w:sz="6" w:space="0" w:color="auto"/>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项目名称</w:t>
            </w:r>
          </w:p>
        </w:tc>
        <w:tc>
          <w:tcPr>
            <w:tcW w:w="8215" w:type="dxa"/>
            <w:gridSpan w:val="8"/>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jc w:val="left"/>
              <w:textAlignment w:val="center"/>
              <w:rPr>
                <w:color w:val="000000"/>
                <w:szCs w:val="24"/>
              </w:rPr>
            </w:pPr>
            <w:r>
              <w:rPr>
                <w:rFonts w:ascii="宋体" w:hAnsi="宋体" w:hint="eastAsia"/>
                <w:color w:val="000000"/>
                <w:szCs w:val="24"/>
              </w:rPr>
              <w:t>“雪亮工程”</w:t>
            </w:r>
          </w:p>
        </w:tc>
      </w:tr>
      <w:tr w:rsidR="00D95D3B">
        <w:trPr>
          <w:trHeight w:val="300"/>
          <w:jc w:val="center"/>
        </w:trPr>
        <w:tc>
          <w:tcPr>
            <w:tcW w:w="950" w:type="dxa"/>
            <w:gridSpan w:val="2"/>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主管部门</w:t>
            </w:r>
          </w:p>
        </w:tc>
        <w:tc>
          <w:tcPr>
            <w:tcW w:w="4117" w:type="dxa"/>
            <w:gridSpan w:val="3"/>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spacing w:val="7"/>
                <w:kern w:val="0"/>
                <w:szCs w:val="24"/>
              </w:rPr>
            </w:pPr>
            <w:r>
              <w:rPr>
                <w:rFonts w:ascii="宋体" w:hAnsi="宋体" w:hint="eastAsia"/>
                <w:spacing w:val="7"/>
                <w:kern w:val="0"/>
                <w:szCs w:val="24"/>
              </w:rPr>
              <w:t>缙云县公安局</w:t>
            </w:r>
          </w:p>
        </w:tc>
        <w:tc>
          <w:tcPr>
            <w:tcW w:w="16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实施单位</w:t>
            </w:r>
          </w:p>
        </w:tc>
        <w:tc>
          <w:tcPr>
            <w:tcW w:w="2430" w:type="dxa"/>
            <w:gridSpan w:val="4"/>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spacing w:val="7"/>
                <w:kern w:val="0"/>
                <w:szCs w:val="24"/>
              </w:rPr>
            </w:pPr>
            <w:r>
              <w:rPr>
                <w:rFonts w:ascii="宋体" w:hAnsi="宋体" w:hint="eastAsia"/>
                <w:spacing w:val="7"/>
                <w:kern w:val="0"/>
                <w:szCs w:val="24"/>
              </w:rPr>
              <w:t>缙云县公安局</w:t>
            </w:r>
          </w:p>
        </w:tc>
      </w:tr>
      <w:tr w:rsidR="00D95D3B">
        <w:trPr>
          <w:trHeight w:val="856"/>
          <w:jc w:val="center"/>
        </w:trPr>
        <w:tc>
          <w:tcPr>
            <w:tcW w:w="950" w:type="dxa"/>
            <w:gridSpan w:val="2"/>
            <w:vMerge w:val="restart"/>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项目资金（万元）</w:t>
            </w:r>
          </w:p>
        </w:tc>
        <w:tc>
          <w:tcPr>
            <w:tcW w:w="2463"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spacing w:val="7"/>
                <w:kern w:val="0"/>
                <w:szCs w:val="24"/>
              </w:rPr>
            </w:pPr>
          </w:p>
        </w:tc>
        <w:tc>
          <w:tcPr>
            <w:tcW w:w="1654"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年初预算数</w:t>
            </w:r>
          </w:p>
        </w:tc>
        <w:tc>
          <w:tcPr>
            <w:tcW w:w="16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全年预算数</w:t>
            </w:r>
          </w:p>
        </w:tc>
        <w:tc>
          <w:tcPr>
            <w:tcW w:w="1425" w:type="dxa"/>
            <w:gridSpan w:val="2"/>
            <w:tcBorders>
              <w:top w:val="single" w:sz="6" w:space="0" w:color="auto"/>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全年执行数</w:t>
            </w:r>
          </w:p>
        </w:tc>
        <w:tc>
          <w:tcPr>
            <w:tcW w:w="100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执行率</w:t>
            </w:r>
          </w:p>
        </w:tc>
      </w:tr>
      <w:tr w:rsidR="00D95D3B">
        <w:trPr>
          <w:trHeight w:val="300"/>
          <w:jc w:val="center"/>
        </w:trPr>
        <w:tc>
          <w:tcPr>
            <w:tcW w:w="950" w:type="dxa"/>
            <w:gridSpan w:val="2"/>
            <w:vMerge/>
            <w:tcBorders>
              <w:top w:val="nil"/>
              <w:left w:val="single" w:sz="6" w:space="0" w:color="auto"/>
              <w:bottom w:val="single" w:sz="6" w:space="0" w:color="auto"/>
              <w:right w:val="single" w:sz="6" w:space="0" w:color="auto"/>
            </w:tcBorders>
            <w:shd w:val="clear" w:color="auto" w:fill="FFFFFF"/>
            <w:vAlign w:val="center"/>
          </w:tcPr>
          <w:p w:rsidR="00D95D3B" w:rsidRDefault="00D95D3B">
            <w:pPr>
              <w:widowControl/>
              <w:jc w:val="left"/>
              <w:rPr>
                <w:spacing w:val="7"/>
                <w:kern w:val="0"/>
                <w:szCs w:val="24"/>
              </w:rPr>
            </w:pPr>
          </w:p>
        </w:tc>
        <w:tc>
          <w:tcPr>
            <w:tcW w:w="2463"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spacing w:val="7"/>
                <w:kern w:val="0"/>
                <w:szCs w:val="24"/>
              </w:rPr>
            </w:pPr>
            <w:r>
              <w:rPr>
                <w:rFonts w:ascii="宋体" w:hAnsi="宋体" w:hint="eastAsia"/>
                <w:spacing w:val="7"/>
                <w:kern w:val="0"/>
                <w:szCs w:val="24"/>
              </w:rPr>
              <w:t>年度资金总额</w:t>
            </w:r>
          </w:p>
        </w:tc>
        <w:tc>
          <w:tcPr>
            <w:tcW w:w="1654"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1900</w:t>
            </w:r>
          </w:p>
        </w:tc>
        <w:tc>
          <w:tcPr>
            <w:tcW w:w="16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1900</w:t>
            </w:r>
          </w:p>
        </w:tc>
        <w:tc>
          <w:tcPr>
            <w:tcW w:w="142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1768.125</w:t>
            </w:r>
          </w:p>
        </w:tc>
        <w:tc>
          <w:tcPr>
            <w:tcW w:w="100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rFonts w:ascii="宋体" w:hAnsi="宋体"/>
                <w:spacing w:val="7"/>
                <w:kern w:val="0"/>
                <w:szCs w:val="24"/>
              </w:rPr>
            </w:pPr>
            <w:r>
              <w:rPr>
                <w:rFonts w:ascii="宋体" w:hAnsi="宋体"/>
                <w:spacing w:val="7"/>
                <w:kern w:val="0"/>
                <w:szCs w:val="24"/>
              </w:rPr>
              <w:t>93.06%</w:t>
            </w:r>
          </w:p>
        </w:tc>
      </w:tr>
      <w:tr w:rsidR="00D95D3B">
        <w:trPr>
          <w:trHeight w:val="315"/>
          <w:jc w:val="center"/>
        </w:trPr>
        <w:tc>
          <w:tcPr>
            <w:tcW w:w="950" w:type="dxa"/>
            <w:gridSpan w:val="2"/>
            <w:vMerge/>
            <w:tcBorders>
              <w:top w:val="nil"/>
              <w:left w:val="single" w:sz="6" w:space="0" w:color="auto"/>
              <w:bottom w:val="single" w:sz="6" w:space="0" w:color="auto"/>
              <w:right w:val="single" w:sz="6" w:space="0" w:color="auto"/>
            </w:tcBorders>
            <w:shd w:val="clear" w:color="auto" w:fill="FFFFFF"/>
            <w:vAlign w:val="center"/>
          </w:tcPr>
          <w:p w:rsidR="00D95D3B" w:rsidRDefault="00D95D3B">
            <w:pPr>
              <w:widowControl/>
              <w:jc w:val="left"/>
              <w:rPr>
                <w:spacing w:val="7"/>
                <w:kern w:val="0"/>
                <w:szCs w:val="24"/>
              </w:rPr>
            </w:pPr>
          </w:p>
        </w:tc>
        <w:tc>
          <w:tcPr>
            <w:tcW w:w="2463"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其中：当年财政拨款</w:t>
            </w:r>
          </w:p>
        </w:tc>
        <w:tc>
          <w:tcPr>
            <w:tcW w:w="1654"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1900</w:t>
            </w:r>
          </w:p>
        </w:tc>
        <w:tc>
          <w:tcPr>
            <w:tcW w:w="16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1900</w:t>
            </w:r>
          </w:p>
        </w:tc>
        <w:tc>
          <w:tcPr>
            <w:tcW w:w="142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1768.125</w:t>
            </w:r>
          </w:p>
        </w:tc>
        <w:tc>
          <w:tcPr>
            <w:tcW w:w="100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rFonts w:ascii="宋体" w:hAnsi="宋体"/>
                <w:spacing w:val="7"/>
                <w:kern w:val="0"/>
                <w:szCs w:val="24"/>
              </w:rPr>
            </w:pPr>
            <w:r>
              <w:rPr>
                <w:rFonts w:ascii="宋体" w:hAnsi="宋体"/>
                <w:spacing w:val="7"/>
                <w:kern w:val="0"/>
                <w:szCs w:val="24"/>
              </w:rPr>
              <w:t>93.06%</w:t>
            </w:r>
          </w:p>
        </w:tc>
      </w:tr>
      <w:tr w:rsidR="00D95D3B">
        <w:trPr>
          <w:trHeight w:val="300"/>
          <w:jc w:val="center"/>
        </w:trPr>
        <w:tc>
          <w:tcPr>
            <w:tcW w:w="950" w:type="dxa"/>
            <w:gridSpan w:val="2"/>
            <w:vMerge/>
            <w:tcBorders>
              <w:top w:val="nil"/>
              <w:left w:val="single" w:sz="6" w:space="0" w:color="auto"/>
              <w:bottom w:val="single" w:sz="6" w:space="0" w:color="auto"/>
              <w:right w:val="single" w:sz="6" w:space="0" w:color="auto"/>
            </w:tcBorders>
            <w:shd w:val="clear" w:color="auto" w:fill="FFFFFF"/>
            <w:vAlign w:val="center"/>
          </w:tcPr>
          <w:p w:rsidR="00D95D3B" w:rsidRDefault="00D95D3B">
            <w:pPr>
              <w:widowControl/>
              <w:jc w:val="left"/>
              <w:rPr>
                <w:spacing w:val="7"/>
                <w:kern w:val="0"/>
                <w:szCs w:val="24"/>
              </w:rPr>
            </w:pPr>
          </w:p>
        </w:tc>
        <w:tc>
          <w:tcPr>
            <w:tcW w:w="2463"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上年结转资金</w:t>
            </w:r>
          </w:p>
        </w:tc>
        <w:tc>
          <w:tcPr>
            <w:tcW w:w="1654"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spacing w:val="7"/>
                <w:kern w:val="0"/>
                <w:szCs w:val="24"/>
              </w:rPr>
            </w:pPr>
          </w:p>
        </w:tc>
        <w:tc>
          <w:tcPr>
            <w:tcW w:w="16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spacing w:val="7"/>
                <w:kern w:val="0"/>
                <w:szCs w:val="24"/>
              </w:rPr>
            </w:pPr>
          </w:p>
        </w:tc>
        <w:tc>
          <w:tcPr>
            <w:tcW w:w="142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spacing w:val="7"/>
                <w:kern w:val="0"/>
                <w:szCs w:val="24"/>
              </w:rPr>
            </w:pPr>
          </w:p>
        </w:tc>
        <w:tc>
          <w:tcPr>
            <w:tcW w:w="100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p>
        </w:tc>
      </w:tr>
      <w:tr w:rsidR="00D95D3B">
        <w:trPr>
          <w:trHeight w:val="300"/>
          <w:jc w:val="center"/>
        </w:trPr>
        <w:tc>
          <w:tcPr>
            <w:tcW w:w="950" w:type="dxa"/>
            <w:gridSpan w:val="2"/>
            <w:vMerge/>
            <w:tcBorders>
              <w:top w:val="nil"/>
              <w:left w:val="single" w:sz="6" w:space="0" w:color="auto"/>
              <w:bottom w:val="single" w:sz="6" w:space="0" w:color="auto"/>
              <w:right w:val="single" w:sz="6" w:space="0" w:color="auto"/>
            </w:tcBorders>
            <w:shd w:val="clear" w:color="auto" w:fill="FFFFFF"/>
            <w:vAlign w:val="center"/>
          </w:tcPr>
          <w:p w:rsidR="00D95D3B" w:rsidRDefault="00D95D3B">
            <w:pPr>
              <w:widowControl/>
              <w:jc w:val="left"/>
              <w:rPr>
                <w:spacing w:val="7"/>
                <w:kern w:val="0"/>
                <w:szCs w:val="24"/>
              </w:rPr>
            </w:pPr>
          </w:p>
        </w:tc>
        <w:tc>
          <w:tcPr>
            <w:tcW w:w="2463"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其他资金</w:t>
            </w:r>
          </w:p>
        </w:tc>
        <w:tc>
          <w:tcPr>
            <w:tcW w:w="1654"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spacing w:val="7"/>
                <w:kern w:val="0"/>
                <w:szCs w:val="24"/>
              </w:rPr>
            </w:pPr>
          </w:p>
        </w:tc>
        <w:tc>
          <w:tcPr>
            <w:tcW w:w="1668" w:type="dxa"/>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spacing w:val="7"/>
                <w:kern w:val="0"/>
                <w:szCs w:val="24"/>
              </w:rPr>
            </w:pPr>
          </w:p>
        </w:tc>
        <w:tc>
          <w:tcPr>
            <w:tcW w:w="142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rPr>
                <w:spacing w:val="7"/>
                <w:kern w:val="0"/>
                <w:szCs w:val="24"/>
              </w:rPr>
            </w:pPr>
          </w:p>
        </w:tc>
        <w:tc>
          <w:tcPr>
            <w:tcW w:w="1005" w:type="dxa"/>
            <w:gridSpan w:val="2"/>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p>
        </w:tc>
      </w:tr>
      <w:tr w:rsidR="00D95D3B">
        <w:trPr>
          <w:trHeight w:val="396"/>
          <w:jc w:val="center"/>
        </w:trPr>
        <w:tc>
          <w:tcPr>
            <w:tcW w:w="950" w:type="dxa"/>
            <w:gridSpan w:val="2"/>
            <w:vMerge w:val="restart"/>
            <w:tcBorders>
              <w:top w:val="nil"/>
              <w:left w:val="single" w:sz="6" w:space="0" w:color="auto"/>
              <w:bottom w:val="nil"/>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年度总体目标</w:t>
            </w:r>
          </w:p>
        </w:tc>
        <w:tc>
          <w:tcPr>
            <w:tcW w:w="4117" w:type="dxa"/>
            <w:gridSpan w:val="3"/>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预期目标</w:t>
            </w:r>
          </w:p>
        </w:tc>
        <w:tc>
          <w:tcPr>
            <w:tcW w:w="4098" w:type="dxa"/>
            <w:gridSpan w:val="5"/>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实际完成情况</w:t>
            </w:r>
          </w:p>
        </w:tc>
      </w:tr>
      <w:tr w:rsidR="00D95D3B">
        <w:trPr>
          <w:trHeight w:val="839"/>
          <w:jc w:val="center"/>
        </w:trPr>
        <w:tc>
          <w:tcPr>
            <w:tcW w:w="950" w:type="dxa"/>
            <w:gridSpan w:val="2"/>
            <w:vMerge/>
            <w:tcBorders>
              <w:top w:val="nil"/>
              <w:left w:val="single" w:sz="6" w:space="0" w:color="auto"/>
              <w:bottom w:val="single" w:sz="6" w:space="0" w:color="auto"/>
              <w:right w:val="single" w:sz="6" w:space="0" w:color="auto"/>
            </w:tcBorders>
            <w:shd w:val="clear" w:color="auto" w:fill="FFFFFF"/>
            <w:vAlign w:val="center"/>
          </w:tcPr>
          <w:p w:rsidR="00D95D3B" w:rsidRDefault="00D95D3B">
            <w:pPr>
              <w:widowControl/>
              <w:jc w:val="left"/>
              <w:rPr>
                <w:spacing w:val="7"/>
                <w:kern w:val="0"/>
                <w:szCs w:val="24"/>
              </w:rPr>
            </w:pPr>
          </w:p>
        </w:tc>
        <w:tc>
          <w:tcPr>
            <w:tcW w:w="4117" w:type="dxa"/>
            <w:gridSpan w:val="3"/>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ind w:leftChars="100" w:left="210"/>
              <w:jc w:val="center"/>
              <w:rPr>
                <w:spacing w:val="7"/>
                <w:kern w:val="0"/>
                <w:szCs w:val="24"/>
              </w:rPr>
            </w:pPr>
            <w:r>
              <w:rPr>
                <w:rFonts w:ascii="宋体" w:hAnsi="宋体" w:hint="eastAsia"/>
                <w:color w:val="000000"/>
                <w:szCs w:val="24"/>
              </w:rPr>
              <w:t>公共安全视频监控系统租赁费</w:t>
            </w:r>
            <w:r>
              <w:rPr>
                <w:rFonts w:ascii="宋体" w:hAnsi="宋体"/>
                <w:color w:val="000000"/>
                <w:szCs w:val="24"/>
              </w:rPr>
              <w:t>1900</w:t>
            </w:r>
            <w:r>
              <w:rPr>
                <w:rFonts w:ascii="宋体" w:hAnsi="宋体" w:hint="eastAsia"/>
                <w:color w:val="000000"/>
                <w:szCs w:val="24"/>
              </w:rPr>
              <w:t>万</w:t>
            </w:r>
          </w:p>
        </w:tc>
        <w:tc>
          <w:tcPr>
            <w:tcW w:w="4098" w:type="dxa"/>
            <w:gridSpan w:val="5"/>
            <w:tcBorders>
              <w:top w:val="nil"/>
              <w:left w:val="nil"/>
              <w:bottom w:val="single" w:sz="6"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ind w:leftChars="100" w:left="210"/>
              <w:jc w:val="center"/>
              <w:rPr>
                <w:spacing w:val="7"/>
                <w:kern w:val="0"/>
                <w:szCs w:val="24"/>
              </w:rPr>
            </w:pPr>
            <w:r>
              <w:rPr>
                <w:rFonts w:ascii="宋体" w:hAnsi="宋体" w:hint="eastAsia"/>
                <w:color w:val="000000"/>
                <w:szCs w:val="24"/>
              </w:rPr>
              <w:t>公共安全视频监控系统租赁费实际支出</w:t>
            </w:r>
            <w:r>
              <w:rPr>
                <w:rFonts w:ascii="宋体" w:hAnsi="宋体"/>
                <w:color w:val="000000"/>
                <w:szCs w:val="24"/>
              </w:rPr>
              <w:t>1768.125</w:t>
            </w:r>
            <w:r>
              <w:rPr>
                <w:rFonts w:ascii="宋体" w:hAnsi="宋体" w:hint="eastAsia"/>
                <w:color w:val="000000"/>
                <w:szCs w:val="24"/>
              </w:rPr>
              <w:t>万</w:t>
            </w:r>
          </w:p>
        </w:tc>
      </w:tr>
      <w:tr w:rsidR="00D95D3B">
        <w:trPr>
          <w:trHeight w:val="695"/>
          <w:jc w:val="center"/>
        </w:trPr>
        <w:tc>
          <w:tcPr>
            <w:tcW w:w="458" w:type="dxa"/>
            <w:vMerge w:val="restart"/>
            <w:tcBorders>
              <w:top w:val="nil"/>
              <w:left w:val="single" w:sz="6" w:space="0" w:color="auto"/>
              <w:bottom w:val="nil"/>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绩效指标</w:t>
            </w:r>
          </w:p>
        </w:tc>
        <w:tc>
          <w:tcPr>
            <w:tcW w:w="492" w:type="dxa"/>
            <w:tcBorders>
              <w:top w:val="nil"/>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一级指标</w:t>
            </w:r>
          </w:p>
        </w:tc>
        <w:tc>
          <w:tcPr>
            <w:tcW w:w="993" w:type="dxa"/>
            <w:tcBorders>
              <w:top w:val="nil"/>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二级指标</w:t>
            </w:r>
          </w:p>
        </w:tc>
        <w:tc>
          <w:tcPr>
            <w:tcW w:w="1470" w:type="dxa"/>
            <w:tcBorders>
              <w:top w:val="single" w:sz="6" w:space="0" w:color="auto"/>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三级指标</w:t>
            </w:r>
          </w:p>
        </w:tc>
        <w:tc>
          <w:tcPr>
            <w:tcW w:w="1654" w:type="dxa"/>
            <w:tcBorders>
              <w:top w:val="nil"/>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年度</w:t>
            </w:r>
          </w:p>
          <w:p w:rsidR="00D95D3B" w:rsidRDefault="00D95D3B">
            <w:pPr>
              <w:widowControl/>
              <w:wordWrap w:val="0"/>
              <w:jc w:val="center"/>
              <w:rPr>
                <w:spacing w:val="7"/>
                <w:kern w:val="0"/>
                <w:szCs w:val="24"/>
              </w:rPr>
            </w:pPr>
            <w:r>
              <w:rPr>
                <w:rFonts w:ascii="宋体" w:hAnsi="宋体" w:hint="eastAsia"/>
                <w:spacing w:val="7"/>
                <w:kern w:val="0"/>
                <w:szCs w:val="24"/>
              </w:rPr>
              <w:t>指标值</w:t>
            </w:r>
          </w:p>
        </w:tc>
        <w:tc>
          <w:tcPr>
            <w:tcW w:w="1668" w:type="dxa"/>
            <w:tcBorders>
              <w:top w:val="nil"/>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实际</w:t>
            </w:r>
          </w:p>
          <w:p w:rsidR="00D95D3B" w:rsidRDefault="00D95D3B">
            <w:pPr>
              <w:widowControl/>
              <w:wordWrap w:val="0"/>
              <w:jc w:val="center"/>
              <w:rPr>
                <w:spacing w:val="7"/>
                <w:kern w:val="0"/>
                <w:szCs w:val="24"/>
              </w:rPr>
            </w:pPr>
            <w:r>
              <w:rPr>
                <w:rFonts w:ascii="宋体" w:hAnsi="宋体" w:hint="eastAsia"/>
                <w:spacing w:val="7"/>
                <w:kern w:val="0"/>
                <w:szCs w:val="24"/>
              </w:rPr>
              <w:t>完成值</w:t>
            </w:r>
          </w:p>
        </w:tc>
        <w:tc>
          <w:tcPr>
            <w:tcW w:w="825" w:type="dxa"/>
            <w:tcBorders>
              <w:top w:val="nil"/>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权重</w:t>
            </w:r>
          </w:p>
        </w:tc>
        <w:tc>
          <w:tcPr>
            <w:tcW w:w="767" w:type="dxa"/>
            <w:gridSpan w:val="2"/>
            <w:tcBorders>
              <w:top w:val="nil"/>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得分</w:t>
            </w:r>
          </w:p>
        </w:tc>
        <w:tc>
          <w:tcPr>
            <w:tcW w:w="838" w:type="dxa"/>
            <w:tcBorders>
              <w:top w:val="single" w:sz="6" w:space="0" w:color="auto"/>
              <w:left w:val="nil"/>
              <w:bottom w:val="single" w:sz="4" w:space="0" w:color="auto"/>
              <w:right w:val="single" w:sz="6"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备注</w:t>
            </w:r>
          </w:p>
        </w:tc>
      </w:tr>
      <w:tr w:rsidR="00D95D3B">
        <w:trPr>
          <w:trHeight w:val="1232"/>
          <w:jc w:val="center"/>
        </w:trPr>
        <w:tc>
          <w:tcPr>
            <w:tcW w:w="458" w:type="dxa"/>
            <w:vMerge/>
            <w:tcBorders>
              <w:top w:val="nil"/>
              <w:left w:val="single" w:sz="6" w:space="0" w:color="auto"/>
              <w:bottom w:val="nil"/>
              <w:right w:val="single" w:sz="4" w:space="0" w:color="auto"/>
            </w:tcBorders>
            <w:shd w:val="clear" w:color="auto" w:fill="FFFFFF"/>
            <w:vAlign w:val="center"/>
          </w:tcPr>
          <w:p w:rsidR="00D95D3B" w:rsidRDefault="00D95D3B">
            <w:pPr>
              <w:widowControl/>
              <w:jc w:val="left"/>
              <w:rPr>
                <w:spacing w:val="7"/>
                <w:kern w:val="0"/>
                <w:szCs w:val="24"/>
              </w:rPr>
            </w:pPr>
          </w:p>
        </w:tc>
        <w:tc>
          <w:tcPr>
            <w:tcW w:w="492" w:type="dxa"/>
            <w:vMerge w:val="restart"/>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绩效指标</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项目必要性</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依据充分性</w:t>
            </w:r>
          </w:p>
        </w:tc>
        <w:tc>
          <w:tcPr>
            <w:tcW w:w="1654"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hint="eastAsia"/>
                <w:spacing w:val="7"/>
                <w:kern w:val="0"/>
                <w:szCs w:val="24"/>
              </w:rPr>
              <w:t>该政策设立依据充分，内容符合省、市政策文件精神</w:t>
            </w:r>
            <w:r>
              <w:rPr>
                <w:rFonts w:ascii="宋体" w:hAnsi="宋体"/>
                <w:spacing w:val="7"/>
                <w:kern w:val="0"/>
                <w:szCs w:val="24"/>
              </w:rPr>
              <w:t xml:space="preserve"> </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依据充分，内容完全符合省市政策文件精神。</w:t>
            </w:r>
          </w:p>
        </w:tc>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30</w:t>
            </w:r>
          </w:p>
        </w:tc>
        <w:tc>
          <w:tcPr>
            <w:tcW w:w="7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30</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p>
        </w:tc>
      </w:tr>
      <w:tr w:rsidR="00D95D3B">
        <w:trPr>
          <w:trHeight w:val="300"/>
          <w:jc w:val="center"/>
        </w:trPr>
        <w:tc>
          <w:tcPr>
            <w:tcW w:w="458" w:type="dxa"/>
            <w:vMerge/>
            <w:tcBorders>
              <w:top w:val="nil"/>
              <w:left w:val="single" w:sz="6" w:space="0" w:color="auto"/>
              <w:bottom w:val="nil"/>
              <w:right w:val="single" w:sz="4" w:space="0" w:color="auto"/>
            </w:tcBorders>
            <w:shd w:val="clear" w:color="auto" w:fill="FFFFFF"/>
            <w:vAlign w:val="center"/>
          </w:tcPr>
          <w:p w:rsidR="00D95D3B" w:rsidRDefault="00D95D3B">
            <w:pPr>
              <w:widowControl/>
              <w:jc w:val="left"/>
              <w:rPr>
                <w:spacing w:val="7"/>
                <w:kern w:val="0"/>
                <w:szCs w:val="24"/>
              </w:rPr>
            </w:pPr>
          </w:p>
        </w:tc>
        <w:tc>
          <w:tcPr>
            <w:tcW w:w="492" w:type="dxa"/>
            <w:vMerge/>
            <w:tcBorders>
              <w:top w:val="nil"/>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p>
        </w:tc>
        <w:tc>
          <w:tcPr>
            <w:tcW w:w="993" w:type="dxa"/>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ordWrap w:val="0"/>
              <w:jc w:val="center"/>
              <w:rPr>
                <w:spacing w:val="7"/>
                <w:kern w:val="0"/>
                <w:szCs w:val="24"/>
              </w:rPr>
            </w:pPr>
            <w:r>
              <w:rPr>
                <w:rFonts w:ascii="宋体" w:hAnsi="宋体" w:hint="eastAsia"/>
                <w:spacing w:val="7"/>
                <w:kern w:val="0"/>
                <w:szCs w:val="24"/>
              </w:rPr>
              <w:t>项目科学性</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目标科学性</w:t>
            </w:r>
          </w:p>
        </w:tc>
        <w:tc>
          <w:tcPr>
            <w:tcW w:w="1654"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政策项目目标清晰、明确</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有中长期规划、各年计划，且完成工作量目标、资金投入产出目标清晰、明确、可量化。</w:t>
            </w:r>
          </w:p>
        </w:tc>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30</w:t>
            </w:r>
          </w:p>
        </w:tc>
        <w:tc>
          <w:tcPr>
            <w:tcW w:w="7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30</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p>
        </w:tc>
      </w:tr>
      <w:tr w:rsidR="00D95D3B">
        <w:trPr>
          <w:trHeight w:val="300"/>
          <w:jc w:val="center"/>
        </w:trPr>
        <w:tc>
          <w:tcPr>
            <w:tcW w:w="458" w:type="dxa"/>
            <w:vMerge/>
            <w:tcBorders>
              <w:top w:val="nil"/>
              <w:left w:val="single" w:sz="6" w:space="0" w:color="auto"/>
              <w:bottom w:val="nil"/>
              <w:right w:val="single" w:sz="4" w:space="0" w:color="auto"/>
            </w:tcBorders>
            <w:shd w:val="clear" w:color="auto" w:fill="FFFFFF"/>
            <w:vAlign w:val="center"/>
          </w:tcPr>
          <w:p w:rsidR="00D95D3B" w:rsidRDefault="00D95D3B">
            <w:pPr>
              <w:widowControl/>
              <w:jc w:val="left"/>
              <w:rPr>
                <w:spacing w:val="7"/>
                <w:kern w:val="0"/>
                <w:szCs w:val="24"/>
              </w:rPr>
            </w:pPr>
          </w:p>
        </w:tc>
        <w:tc>
          <w:tcPr>
            <w:tcW w:w="492" w:type="dxa"/>
            <w:vMerge/>
            <w:tcBorders>
              <w:top w:val="nil"/>
              <w:left w:val="single" w:sz="4" w:space="0" w:color="auto"/>
              <w:bottom w:val="nil"/>
              <w:right w:val="single" w:sz="4" w:space="0" w:color="auto"/>
            </w:tcBorders>
            <w:shd w:val="clear" w:color="auto" w:fill="FFFFFF"/>
            <w:vAlign w:val="center"/>
          </w:tcPr>
          <w:p w:rsidR="00D95D3B" w:rsidRDefault="00D95D3B">
            <w:pPr>
              <w:widowControl/>
              <w:jc w:val="left"/>
              <w:rPr>
                <w:spacing w:val="7"/>
                <w:kern w:val="0"/>
                <w:szCs w:val="24"/>
              </w:rPr>
            </w:pPr>
          </w:p>
        </w:tc>
        <w:tc>
          <w:tcPr>
            <w:tcW w:w="993" w:type="dxa"/>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政策效果</w:t>
            </w:r>
          </w:p>
        </w:tc>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项目绩效</w:t>
            </w:r>
          </w:p>
        </w:tc>
        <w:tc>
          <w:tcPr>
            <w:tcW w:w="1654"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该项目所产生的绩效（经济、社会、环保效益）</w:t>
            </w:r>
          </w:p>
        </w:tc>
        <w:tc>
          <w:tcPr>
            <w:tcW w:w="166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取得很大效益</w:t>
            </w:r>
          </w:p>
        </w:tc>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20</w:t>
            </w:r>
          </w:p>
        </w:tc>
        <w:tc>
          <w:tcPr>
            <w:tcW w:w="7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20</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p>
        </w:tc>
      </w:tr>
      <w:tr w:rsidR="00D95D3B">
        <w:trPr>
          <w:trHeight w:val="624"/>
          <w:jc w:val="center"/>
        </w:trPr>
        <w:tc>
          <w:tcPr>
            <w:tcW w:w="458" w:type="dxa"/>
            <w:vMerge/>
            <w:tcBorders>
              <w:top w:val="nil"/>
              <w:left w:val="single" w:sz="6" w:space="0" w:color="auto"/>
              <w:bottom w:val="nil"/>
              <w:right w:val="single" w:sz="4" w:space="0" w:color="auto"/>
            </w:tcBorders>
            <w:shd w:val="clear" w:color="auto" w:fill="FFFFFF"/>
            <w:vAlign w:val="center"/>
          </w:tcPr>
          <w:p w:rsidR="00D95D3B" w:rsidRDefault="00D95D3B">
            <w:pPr>
              <w:widowControl/>
              <w:jc w:val="left"/>
              <w:rPr>
                <w:spacing w:val="7"/>
                <w:kern w:val="0"/>
                <w:szCs w:val="24"/>
              </w:rPr>
            </w:pPr>
          </w:p>
        </w:tc>
        <w:tc>
          <w:tcPr>
            <w:tcW w:w="492" w:type="dxa"/>
            <w:vMerge/>
            <w:tcBorders>
              <w:top w:val="nil"/>
              <w:left w:val="single" w:sz="4" w:space="0" w:color="auto"/>
              <w:bottom w:val="nil"/>
              <w:right w:val="single" w:sz="4" w:space="0" w:color="auto"/>
            </w:tcBorders>
            <w:shd w:val="clear" w:color="auto" w:fill="FFFFFF"/>
            <w:vAlign w:val="center"/>
          </w:tcPr>
          <w:p w:rsidR="00D95D3B" w:rsidRDefault="00D95D3B">
            <w:pPr>
              <w:widowControl/>
              <w:jc w:val="left"/>
              <w:rPr>
                <w:spacing w:val="7"/>
                <w:kern w:val="0"/>
                <w:szCs w:val="24"/>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满意度</w:t>
            </w:r>
          </w:p>
          <w:p w:rsidR="00D95D3B" w:rsidRDefault="00D95D3B">
            <w:pPr>
              <w:widowControl/>
              <w:wordWrap w:val="0"/>
              <w:jc w:val="center"/>
              <w:rPr>
                <w:spacing w:val="7"/>
                <w:kern w:val="0"/>
                <w:szCs w:val="24"/>
              </w:rPr>
            </w:pPr>
          </w:p>
        </w:tc>
        <w:tc>
          <w:tcPr>
            <w:tcW w:w="1470" w:type="dxa"/>
            <w:vMerge w:val="restart"/>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项目实施相关方满意度</w:t>
            </w:r>
          </w:p>
        </w:tc>
        <w:tc>
          <w:tcPr>
            <w:tcW w:w="1654" w:type="dxa"/>
            <w:vMerge w:val="restart"/>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管理人员和普通工作人员对改政策的满意度</w:t>
            </w:r>
          </w:p>
        </w:tc>
        <w:tc>
          <w:tcPr>
            <w:tcW w:w="1668" w:type="dxa"/>
            <w:vMerge w:val="restart"/>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r>
              <w:rPr>
                <w:rFonts w:ascii="宋体" w:hAnsi="宋体" w:hint="eastAsia"/>
                <w:spacing w:val="7"/>
                <w:kern w:val="0"/>
                <w:szCs w:val="24"/>
              </w:rPr>
              <w:t>满意度达到</w:t>
            </w:r>
            <w:r>
              <w:rPr>
                <w:rFonts w:ascii="宋体" w:hAnsi="宋体"/>
                <w:spacing w:val="7"/>
                <w:kern w:val="0"/>
                <w:szCs w:val="24"/>
              </w:rPr>
              <w:t>85%</w:t>
            </w:r>
            <w:r>
              <w:rPr>
                <w:rFonts w:ascii="宋体" w:hAnsi="宋体" w:hint="eastAsia"/>
                <w:spacing w:val="7"/>
                <w:kern w:val="0"/>
                <w:szCs w:val="24"/>
              </w:rPr>
              <w:t>以上</w:t>
            </w:r>
          </w:p>
        </w:tc>
        <w:tc>
          <w:tcPr>
            <w:tcW w:w="825" w:type="dxa"/>
            <w:vMerge w:val="restart"/>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20</w:t>
            </w:r>
          </w:p>
        </w:tc>
        <w:tc>
          <w:tcPr>
            <w:tcW w:w="767" w:type="dxa"/>
            <w:gridSpan w:val="2"/>
            <w:vMerge w:val="restart"/>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20</w:t>
            </w:r>
          </w:p>
        </w:tc>
        <w:tc>
          <w:tcPr>
            <w:tcW w:w="838" w:type="dxa"/>
            <w:vMerge w:val="restart"/>
            <w:tcBorders>
              <w:top w:val="single" w:sz="4" w:space="0" w:color="auto"/>
              <w:left w:val="single" w:sz="4" w:space="0" w:color="auto"/>
              <w:bottom w:val="nil"/>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p>
        </w:tc>
      </w:tr>
      <w:tr w:rsidR="00D95D3B">
        <w:trPr>
          <w:trHeight w:val="300"/>
          <w:jc w:val="center"/>
        </w:trPr>
        <w:tc>
          <w:tcPr>
            <w:tcW w:w="458" w:type="dxa"/>
            <w:tcBorders>
              <w:top w:val="nil"/>
              <w:left w:val="single" w:sz="6" w:space="0" w:color="auto"/>
              <w:bottom w:val="single" w:sz="4" w:space="0" w:color="auto"/>
              <w:right w:val="single" w:sz="4" w:space="0" w:color="auto"/>
            </w:tcBorders>
            <w:shd w:val="clear" w:color="auto" w:fill="FFFFFF"/>
            <w:vAlign w:val="center"/>
          </w:tcPr>
          <w:p w:rsidR="00D95D3B" w:rsidRDefault="00D95D3B">
            <w:pPr>
              <w:widowControl/>
              <w:jc w:val="left"/>
              <w:rPr>
                <w:spacing w:val="7"/>
                <w:kern w:val="0"/>
                <w:szCs w:val="24"/>
              </w:rPr>
            </w:pPr>
          </w:p>
        </w:tc>
        <w:tc>
          <w:tcPr>
            <w:tcW w:w="492" w:type="dxa"/>
            <w:vMerge/>
            <w:tcBorders>
              <w:top w:val="nil"/>
              <w:left w:val="single" w:sz="4" w:space="0" w:color="auto"/>
              <w:bottom w:val="single" w:sz="4" w:space="0" w:color="auto"/>
              <w:right w:val="single" w:sz="4" w:space="0" w:color="auto"/>
            </w:tcBorders>
            <w:shd w:val="clear" w:color="auto" w:fill="FFFFFF"/>
            <w:vAlign w:val="center"/>
          </w:tcPr>
          <w:p w:rsidR="00D95D3B" w:rsidRDefault="00D95D3B">
            <w:pPr>
              <w:widowControl/>
              <w:jc w:val="left"/>
              <w:rPr>
                <w:spacing w:val="7"/>
                <w:kern w:val="0"/>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p>
        </w:tc>
        <w:tc>
          <w:tcPr>
            <w:tcW w:w="1470" w:type="dxa"/>
            <w:vMerge/>
            <w:tcBorders>
              <w:top w:val="nil"/>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p>
        </w:tc>
        <w:tc>
          <w:tcPr>
            <w:tcW w:w="1654" w:type="dxa"/>
            <w:vMerge/>
            <w:tcBorders>
              <w:top w:val="nil"/>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p>
        </w:tc>
        <w:tc>
          <w:tcPr>
            <w:tcW w:w="1668" w:type="dxa"/>
            <w:vMerge/>
            <w:tcBorders>
              <w:top w:val="nil"/>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p>
        </w:tc>
        <w:tc>
          <w:tcPr>
            <w:tcW w:w="825" w:type="dxa"/>
            <w:vMerge/>
            <w:tcBorders>
              <w:top w:val="nil"/>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p>
        </w:tc>
        <w:tc>
          <w:tcPr>
            <w:tcW w:w="767" w:type="dxa"/>
            <w:gridSpan w:val="2"/>
            <w:vMerge/>
            <w:tcBorders>
              <w:top w:val="nil"/>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p>
        </w:tc>
        <w:tc>
          <w:tcPr>
            <w:tcW w:w="838" w:type="dxa"/>
            <w:vMerge/>
            <w:tcBorders>
              <w:top w:val="nil"/>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p>
        </w:tc>
      </w:tr>
      <w:tr w:rsidR="00D95D3B">
        <w:trPr>
          <w:trHeight w:val="300"/>
          <w:jc w:val="center"/>
        </w:trPr>
        <w:tc>
          <w:tcPr>
            <w:tcW w:w="6735" w:type="dxa"/>
            <w:gridSpan w:val="6"/>
            <w:tcBorders>
              <w:top w:val="single" w:sz="4" w:space="0" w:color="auto"/>
              <w:left w:val="single" w:sz="6" w:space="0" w:color="auto"/>
              <w:bottom w:val="single" w:sz="4" w:space="0" w:color="auto"/>
              <w:right w:val="single" w:sz="4" w:space="0" w:color="auto"/>
            </w:tcBorders>
            <w:shd w:val="clear" w:color="auto" w:fill="FFFFFF"/>
            <w:vAlign w:val="center"/>
          </w:tcPr>
          <w:p w:rsidR="00D95D3B" w:rsidRDefault="00D95D3B">
            <w:pPr>
              <w:widowControl/>
              <w:wordWrap w:val="0"/>
              <w:jc w:val="center"/>
              <w:rPr>
                <w:spacing w:val="7"/>
                <w:kern w:val="0"/>
                <w:szCs w:val="24"/>
              </w:rPr>
            </w:pPr>
            <w:r>
              <w:rPr>
                <w:rFonts w:ascii="宋体" w:hAnsi="宋体" w:hint="eastAsia"/>
                <w:spacing w:val="7"/>
                <w:kern w:val="0"/>
                <w:szCs w:val="24"/>
              </w:rPr>
              <w:t>总分</w:t>
            </w:r>
          </w:p>
        </w:tc>
        <w:tc>
          <w:tcPr>
            <w:tcW w:w="825"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spacing w:val="7"/>
                <w:kern w:val="0"/>
                <w:szCs w:val="24"/>
              </w:rPr>
            </w:pPr>
          </w:p>
        </w:tc>
        <w:tc>
          <w:tcPr>
            <w:tcW w:w="7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r>
              <w:rPr>
                <w:rFonts w:ascii="宋体" w:hAnsi="宋体"/>
                <w:spacing w:val="7"/>
                <w:kern w:val="0"/>
                <w:szCs w:val="24"/>
              </w:rPr>
              <w:t>100</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vAlign w:val="center"/>
          </w:tcPr>
          <w:p w:rsidR="00D95D3B" w:rsidRDefault="00D95D3B">
            <w:pPr>
              <w:widowControl/>
              <w:wordWrap w:val="0"/>
              <w:jc w:val="center"/>
              <w:rPr>
                <w:rFonts w:ascii="宋体" w:hAnsi="宋体"/>
                <w:spacing w:val="7"/>
                <w:kern w:val="0"/>
                <w:szCs w:val="24"/>
              </w:rPr>
            </w:pPr>
          </w:p>
        </w:tc>
      </w:tr>
    </w:tbl>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7"/>
        <w:gridCol w:w="1788"/>
        <w:gridCol w:w="5190"/>
      </w:tblGrid>
      <w:tr w:rsidR="00D95D3B">
        <w:trPr>
          <w:trHeight w:val="559"/>
        </w:trPr>
        <w:tc>
          <w:tcPr>
            <w:tcW w:w="2217" w:type="dxa"/>
          </w:tcPr>
          <w:p w:rsidR="00D95D3B" w:rsidRDefault="00D95D3B">
            <w:pPr>
              <w:jc w:val="center"/>
              <w:rPr>
                <w:spacing w:val="7"/>
                <w:kern w:val="0"/>
                <w:szCs w:val="24"/>
              </w:rPr>
            </w:pPr>
            <w:r>
              <w:rPr>
                <w:rFonts w:ascii="宋体" w:hAnsi="宋体" w:hint="eastAsia"/>
                <w:spacing w:val="7"/>
                <w:kern w:val="0"/>
                <w:szCs w:val="24"/>
              </w:rPr>
              <w:t>自评结论</w:t>
            </w:r>
          </w:p>
        </w:tc>
        <w:tc>
          <w:tcPr>
            <w:tcW w:w="1788" w:type="dxa"/>
          </w:tcPr>
          <w:p w:rsidR="00D95D3B" w:rsidRDefault="00D95D3B">
            <w:pPr>
              <w:jc w:val="center"/>
              <w:rPr>
                <w:spacing w:val="7"/>
                <w:kern w:val="0"/>
                <w:szCs w:val="24"/>
              </w:rPr>
            </w:pPr>
            <w:r>
              <w:rPr>
                <w:rFonts w:ascii="宋体" w:hAnsi="宋体" w:hint="eastAsia"/>
                <w:spacing w:val="7"/>
                <w:kern w:val="0"/>
                <w:szCs w:val="24"/>
              </w:rPr>
              <w:t>优</w:t>
            </w:r>
          </w:p>
        </w:tc>
        <w:tc>
          <w:tcPr>
            <w:tcW w:w="5190" w:type="dxa"/>
          </w:tcPr>
          <w:p w:rsidR="00D95D3B" w:rsidRDefault="00D95D3B">
            <w:pPr>
              <w:rPr>
                <w:szCs w:val="24"/>
              </w:rPr>
            </w:pPr>
            <w:r>
              <w:rPr>
                <w:rFonts w:ascii="宋体" w:hAnsi="宋体" w:hint="eastAsia"/>
                <w:color w:val="000000"/>
                <w:kern w:val="0"/>
                <w:szCs w:val="24"/>
              </w:rPr>
              <w:t>总分高于</w:t>
            </w:r>
            <w:r>
              <w:rPr>
                <w:rFonts w:ascii="宋体" w:hAnsi="宋体"/>
                <w:color w:val="000000"/>
                <w:kern w:val="0"/>
                <w:szCs w:val="24"/>
              </w:rPr>
              <w:t>90</w:t>
            </w:r>
            <w:r>
              <w:rPr>
                <w:rFonts w:ascii="宋体" w:hAnsi="宋体" w:hint="eastAsia"/>
                <w:color w:val="000000"/>
                <w:kern w:val="0"/>
                <w:szCs w:val="24"/>
              </w:rPr>
              <w:t>分（含）的结论为“优”，</w:t>
            </w:r>
            <w:r>
              <w:rPr>
                <w:rFonts w:ascii="宋体" w:hAnsi="宋体"/>
                <w:color w:val="000000"/>
                <w:kern w:val="0"/>
                <w:szCs w:val="24"/>
              </w:rPr>
              <w:t>90</w:t>
            </w:r>
            <w:r>
              <w:rPr>
                <w:rFonts w:ascii="宋体" w:hAnsi="宋体" w:hint="eastAsia"/>
                <w:color w:val="000000"/>
                <w:kern w:val="0"/>
                <w:szCs w:val="24"/>
              </w:rPr>
              <w:t>～</w:t>
            </w:r>
            <w:r>
              <w:rPr>
                <w:rFonts w:ascii="宋体" w:hAnsi="宋体"/>
                <w:color w:val="000000"/>
                <w:kern w:val="0"/>
                <w:szCs w:val="24"/>
              </w:rPr>
              <w:t>80</w:t>
            </w:r>
            <w:r>
              <w:rPr>
                <w:rFonts w:ascii="宋体" w:hAnsi="宋体" w:hint="eastAsia"/>
                <w:color w:val="000000"/>
                <w:kern w:val="0"/>
                <w:szCs w:val="24"/>
              </w:rPr>
              <w:t>分（含）为“良”，</w:t>
            </w:r>
            <w:r>
              <w:rPr>
                <w:rFonts w:ascii="宋体" w:hAnsi="宋体"/>
                <w:color w:val="000000"/>
                <w:kern w:val="0"/>
                <w:szCs w:val="24"/>
              </w:rPr>
              <w:t>80</w:t>
            </w:r>
            <w:r>
              <w:rPr>
                <w:rFonts w:ascii="宋体" w:hAnsi="宋体" w:hint="eastAsia"/>
                <w:color w:val="000000"/>
                <w:kern w:val="0"/>
                <w:szCs w:val="24"/>
              </w:rPr>
              <w:t>～</w:t>
            </w:r>
            <w:r>
              <w:rPr>
                <w:rFonts w:ascii="宋体" w:hAnsi="宋体"/>
                <w:color w:val="000000"/>
                <w:kern w:val="0"/>
                <w:szCs w:val="24"/>
              </w:rPr>
              <w:t>60</w:t>
            </w:r>
            <w:r>
              <w:rPr>
                <w:rFonts w:ascii="宋体" w:hAnsi="宋体" w:hint="eastAsia"/>
                <w:color w:val="000000"/>
                <w:kern w:val="0"/>
                <w:szCs w:val="24"/>
              </w:rPr>
              <w:t>分（含）为“中”，低于</w:t>
            </w:r>
            <w:r>
              <w:rPr>
                <w:rFonts w:ascii="宋体" w:hAnsi="宋体"/>
                <w:color w:val="000000"/>
                <w:kern w:val="0"/>
                <w:szCs w:val="24"/>
              </w:rPr>
              <w:t>60</w:t>
            </w:r>
            <w:r>
              <w:rPr>
                <w:rFonts w:ascii="宋体" w:hAnsi="宋体" w:hint="eastAsia"/>
                <w:color w:val="000000"/>
                <w:kern w:val="0"/>
                <w:szCs w:val="24"/>
              </w:rPr>
              <w:t>分为“差”。</w:t>
            </w:r>
          </w:p>
        </w:tc>
      </w:tr>
    </w:tbl>
    <w:p w:rsidR="00D95D3B" w:rsidRDefault="00D95D3B">
      <w:pPr>
        <w:spacing w:line="324" w:lineRule="auto"/>
        <w:ind w:firstLine="594"/>
        <w:rPr>
          <w:rFonts w:ascii="仿宋" w:eastAsia="仿宋" w:hAnsi="仿宋"/>
          <w:b/>
          <w:color w:val="000000"/>
          <w:sz w:val="32"/>
          <w:szCs w:val="24"/>
          <w:highlight w:val="white"/>
        </w:rPr>
      </w:pPr>
      <w:r>
        <w:rPr>
          <w:rFonts w:ascii="仿宋" w:eastAsia="仿宋" w:hAnsi="仿宋"/>
          <w:b/>
          <w:color w:val="000000"/>
          <w:sz w:val="32"/>
          <w:szCs w:val="24"/>
          <w:highlight w:val="white"/>
        </w:rPr>
        <w:t>3.</w:t>
      </w:r>
      <w:r>
        <w:rPr>
          <w:rFonts w:ascii="仿宋" w:eastAsia="仿宋" w:hAnsi="仿宋" w:hint="eastAsia"/>
          <w:b/>
          <w:color w:val="000000"/>
          <w:sz w:val="32"/>
          <w:szCs w:val="24"/>
          <w:highlight w:val="white"/>
        </w:rPr>
        <w:t>财政评价项目绩效评价结果。无。</w:t>
      </w:r>
    </w:p>
    <w:p w:rsidR="00D95D3B" w:rsidRDefault="00D95D3B">
      <w:pPr>
        <w:spacing w:line="324" w:lineRule="auto"/>
        <w:ind w:firstLine="594"/>
        <w:rPr>
          <w:rFonts w:ascii="仿宋" w:eastAsia="仿宋" w:hAnsi="仿宋"/>
          <w:b/>
          <w:color w:val="000000"/>
          <w:sz w:val="32"/>
          <w:szCs w:val="24"/>
          <w:highlight w:val="white"/>
        </w:rPr>
      </w:pPr>
      <w:r>
        <w:rPr>
          <w:rFonts w:ascii="仿宋" w:eastAsia="仿宋" w:hAnsi="仿宋"/>
          <w:b/>
          <w:color w:val="000000"/>
          <w:sz w:val="32"/>
          <w:szCs w:val="24"/>
          <w:highlight w:val="white"/>
        </w:rPr>
        <w:lastRenderedPageBreak/>
        <w:t>4.</w:t>
      </w:r>
      <w:r>
        <w:rPr>
          <w:rFonts w:ascii="仿宋" w:eastAsia="仿宋" w:hAnsi="仿宋" w:hint="eastAsia"/>
          <w:b/>
          <w:color w:val="000000"/>
          <w:sz w:val="32"/>
          <w:szCs w:val="24"/>
          <w:highlight w:val="white"/>
        </w:rPr>
        <w:t>部门评价项目绩效评价结果。无。</w:t>
      </w:r>
    </w:p>
    <w:p w:rsidR="00D95D3B" w:rsidRDefault="00D95D3B">
      <w:pPr>
        <w:keepNext/>
        <w:keepLines/>
        <w:autoSpaceDE w:val="0"/>
        <w:autoSpaceDN w:val="0"/>
        <w:adjustRightInd w:val="0"/>
        <w:spacing w:line="600" w:lineRule="exact"/>
        <w:ind w:firstLine="641"/>
        <w:jc w:val="left"/>
        <w:rPr>
          <w:rFonts w:ascii="黑体" w:eastAsia="黑体" w:hAnsi="Times New Roman"/>
          <w:b/>
          <w:color w:val="000000"/>
          <w:sz w:val="32"/>
          <w:szCs w:val="24"/>
          <w:highlight w:val="white"/>
        </w:rPr>
      </w:pPr>
      <w:r>
        <w:rPr>
          <w:rFonts w:ascii="黑体" w:eastAsia="黑体" w:hAnsi="Times New Roman" w:hint="eastAsia"/>
          <w:b/>
          <w:color w:val="000000"/>
          <w:sz w:val="32"/>
          <w:szCs w:val="24"/>
          <w:highlight w:val="white"/>
        </w:rPr>
        <w:t>四、名词解释</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1.</w:t>
      </w:r>
      <w:r>
        <w:rPr>
          <w:rFonts w:ascii="仿宋" w:eastAsia="仿宋" w:hAnsi="Times New Roman" w:hint="eastAsia"/>
          <w:color w:val="000000"/>
          <w:sz w:val="32"/>
          <w:highlight w:val="white"/>
        </w:rPr>
        <w:t>财政拨款收入：指本级财政部门当年拨付的财政预算资金，包括一般公共预算财政拨款、政府性基金预算财政拨款和国有资本经预算财政拨款。</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2.</w:t>
      </w:r>
      <w:r>
        <w:rPr>
          <w:rFonts w:ascii="仿宋" w:eastAsia="仿宋" w:hAnsi="Times New Roman" w:hint="eastAsia"/>
          <w:color w:val="000000"/>
          <w:sz w:val="32"/>
          <w:highlight w:val="white"/>
        </w:rPr>
        <w:t>事业收入：指事业单位开展专业业务活动及辅助活动所取得的收入。</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3.</w:t>
      </w:r>
      <w:r>
        <w:rPr>
          <w:rFonts w:ascii="仿宋" w:eastAsia="仿宋" w:hAnsi="Times New Roman" w:hint="eastAsia"/>
          <w:color w:val="000000"/>
          <w:sz w:val="32"/>
          <w:highlight w:val="white"/>
        </w:rPr>
        <w:t>经营收入：指事业单位在专业业务活动及辅助活动之外开展非独立核算经营活动取得的收入。</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4.</w:t>
      </w:r>
      <w:r>
        <w:rPr>
          <w:rFonts w:ascii="仿宋" w:eastAsia="仿宋" w:hAnsi="Times New Roman" w:hint="eastAsia"/>
          <w:color w:val="000000"/>
          <w:sz w:val="32"/>
          <w:highlight w:val="white"/>
        </w:rPr>
        <w:t>上级补助收入：指事业单位从主管部门和上级单位取得的非财政补助收入。</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5.</w:t>
      </w:r>
      <w:r>
        <w:rPr>
          <w:rFonts w:ascii="仿宋" w:eastAsia="仿宋" w:hAnsi="Times New Roman" w:hint="eastAsia"/>
          <w:color w:val="000000"/>
          <w:sz w:val="32"/>
          <w:highlight w:val="white"/>
        </w:rPr>
        <w:t>附属单位上缴收入：指事业单位附属独立核算单位按照有关规定上缴的收入。</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6.</w:t>
      </w:r>
      <w:r>
        <w:rPr>
          <w:rFonts w:ascii="仿宋" w:eastAsia="仿宋" w:hAnsi="Times New Roman" w:hint="eastAsia"/>
          <w:color w:val="000000"/>
          <w:sz w:val="32"/>
          <w:highlight w:val="white"/>
        </w:rPr>
        <w:t>其他收入：指预算单位在</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财政拨款</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事业收入</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经营收入</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上级补助收入</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附属单位上缴收入</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等之外取得的各项收入。</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7.</w:t>
      </w:r>
      <w:r>
        <w:rPr>
          <w:rFonts w:ascii="仿宋" w:eastAsia="仿宋" w:hAnsi="Times New Roman" w:hint="eastAsia"/>
          <w:color w:val="000000"/>
          <w:sz w:val="32"/>
          <w:highlight w:val="white"/>
        </w:rPr>
        <w:t>使用非财政拨款结余：指事业单位使用以前年度积累的非财政拨款结余弥补当年收支差额的金额。</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8.</w:t>
      </w:r>
      <w:r>
        <w:rPr>
          <w:rFonts w:ascii="仿宋" w:eastAsia="仿宋" w:hAnsi="Times New Roman" w:hint="eastAsia"/>
          <w:color w:val="000000"/>
          <w:sz w:val="32"/>
          <w:highlight w:val="white"/>
        </w:rPr>
        <w:t>年初结转和结余：指预算单位以前年度尚未完成、结转到本年仍按原规定用途继续使用的资金。</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9.</w:t>
      </w:r>
      <w:r>
        <w:rPr>
          <w:rFonts w:ascii="仿宋" w:eastAsia="仿宋" w:hAnsi="Times New Roman" w:hint="eastAsia"/>
          <w:color w:val="000000"/>
          <w:sz w:val="32"/>
          <w:highlight w:val="white"/>
        </w:rPr>
        <w:t>年末结转和结余：指单位按有关规定结转到下年或以后年度继续使用的资金。</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10.</w:t>
      </w:r>
      <w:r>
        <w:rPr>
          <w:rFonts w:ascii="仿宋" w:eastAsia="仿宋" w:hAnsi="Times New Roman" w:hint="eastAsia"/>
          <w:color w:val="000000"/>
          <w:sz w:val="32"/>
          <w:highlight w:val="white"/>
        </w:rPr>
        <w:t>基本支出：指预算单位为保障其正常运转，完成日常工作任务所发生的支出，包括人员经费支出和日常公用经费支出。</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lastRenderedPageBreak/>
        <w:t>11.</w:t>
      </w:r>
      <w:r>
        <w:rPr>
          <w:rFonts w:ascii="仿宋" w:eastAsia="仿宋" w:hAnsi="Times New Roman" w:hint="eastAsia"/>
          <w:color w:val="000000"/>
          <w:sz w:val="32"/>
          <w:highlight w:val="white"/>
        </w:rPr>
        <w:t>项目支出：指预算单位为完成其特定的行政工作任务或事业发展目标所发生的支出。</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12.</w:t>
      </w:r>
      <w:r>
        <w:rPr>
          <w:rFonts w:ascii="仿宋" w:eastAsia="仿宋" w:hAnsi="Times New Roman" w:hint="eastAsia"/>
          <w:color w:val="000000"/>
          <w:sz w:val="32"/>
          <w:highlight w:val="white"/>
        </w:rPr>
        <w:t>上缴上级支出：填列事业单位按照财政部门和主管部门的规定上缴上级单位的支出。</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13.</w:t>
      </w:r>
      <w:r>
        <w:rPr>
          <w:rFonts w:ascii="仿宋" w:eastAsia="仿宋" w:hAnsi="Times New Roman" w:hint="eastAsia"/>
          <w:color w:val="000000"/>
          <w:sz w:val="32"/>
          <w:highlight w:val="white"/>
        </w:rPr>
        <w:t>经营支出：指事业单位在专业业务活动及其辅助活动之外开展非独立核算经营活动发生的支出。</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14.</w:t>
      </w:r>
      <w:r>
        <w:rPr>
          <w:rFonts w:ascii="仿宋" w:eastAsia="仿宋" w:hAnsi="Times New Roman" w:hint="eastAsia"/>
          <w:color w:val="000000"/>
          <w:sz w:val="32"/>
          <w:highlight w:val="white"/>
        </w:rPr>
        <w:t>附属单位补助支出：填列事业单位用财政补助收入之外的收入对附属单位补助发生的支出。</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15.</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三公</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经费：纳入财政预决算管理的</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三公</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经费，是指部门用一般公共预算财政拨款安排的因公出国（境）费、公务用车购置及运行费和公务接待费。其中，因公出国（境）费反映单位公务出国（境）的国际旅费、国外城市间交通费、住宿费、伙食费、培训费、公杂费等支出，不含教学科研人员学术交流；公务用车购置及运行费反映单位公务用车车辆购置支出（含车辆购置税）及燃费、维修费、过桥过路费、保险费、安全奖励费用等支出；公务接待费反映单位按规定开支的各类公务接待（含外宾接待）支出。</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16.</w:t>
      </w:r>
      <w:r>
        <w:rPr>
          <w:rFonts w:ascii="仿宋" w:eastAsia="仿宋" w:hAnsi="Times New Roman" w:hint="eastAsia"/>
          <w:color w:val="000000"/>
          <w:sz w:val="32"/>
          <w:highlight w:val="white"/>
        </w:rPr>
        <w:t>机关运行经费：指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17</w:t>
      </w:r>
      <w:r>
        <w:rPr>
          <w:rFonts w:ascii="仿宋" w:eastAsia="仿宋" w:hAnsi="Times New Roman" w:hint="eastAsia"/>
          <w:color w:val="000000"/>
          <w:sz w:val="32"/>
          <w:highlight w:val="white"/>
        </w:rPr>
        <w:t>．公共安全支出（类）公安（款）行政运行（项）：指反映行政单位（包括实行公务员管理的事业单位）的基本支出。</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18</w:t>
      </w:r>
      <w:r>
        <w:rPr>
          <w:rFonts w:ascii="仿宋" w:eastAsia="仿宋" w:hAnsi="Times New Roman" w:hint="eastAsia"/>
          <w:color w:val="000000"/>
          <w:sz w:val="32"/>
          <w:highlight w:val="white"/>
        </w:rPr>
        <w:t>．公共安全支出（类）公安（款）一般行政管理事务（项）：指反映行政单位（包括实行公务员管理的事业单位）未单独设置项级科目的其他项目支出。</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lastRenderedPageBreak/>
        <w:t>19</w:t>
      </w:r>
      <w:r>
        <w:rPr>
          <w:rFonts w:ascii="仿宋" w:eastAsia="仿宋" w:hAnsi="Times New Roman" w:hint="eastAsia"/>
          <w:color w:val="000000"/>
          <w:sz w:val="32"/>
          <w:highlight w:val="white"/>
        </w:rPr>
        <w:t>、公共安全支出（类）公安（款）机关服务（项）反映为行政单位（包括实行公务员管理的事业单位）提供后勤服务的各类后勤服务中心、医务室等附属事业单位的支出。其他事业单位的支出，凡单独设置了项级科目的，在单独设置的项级科目中反映。未单设项级科目的，在</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其他</w:t>
      </w:r>
      <w:r>
        <w:rPr>
          <w:rFonts w:ascii="Times New Roman" w:eastAsia="仿宋" w:hAnsi="Times New Roman"/>
          <w:color w:val="000000"/>
          <w:sz w:val="32"/>
          <w:highlight w:val="white"/>
        </w:rPr>
        <w:t>”</w:t>
      </w:r>
      <w:r>
        <w:rPr>
          <w:rFonts w:ascii="仿宋" w:eastAsia="仿宋" w:hAnsi="Times New Roman" w:hint="eastAsia"/>
          <w:color w:val="000000"/>
          <w:sz w:val="32"/>
          <w:highlight w:val="white"/>
        </w:rPr>
        <w:t>项级科目中反映。</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20</w:t>
      </w:r>
      <w:r>
        <w:rPr>
          <w:rFonts w:ascii="仿宋" w:eastAsia="仿宋" w:hAnsi="Times New Roman" w:hint="eastAsia"/>
          <w:color w:val="000000"/>
          <w:sz w:val="32"/>
          <w:highlight w:val="white"/>
        </w:rPr>
        <w:t>．公共安全支出（类）公安（款）信息化建设（项）：反映各级公安机关用于非涉密的信息网络建设和运行维护相关支出。</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21</w:t>
      </w:r>
      <w:r>
        <w:rPr>
          <w:rFonts w:ascii="仿宋" w:eastAsia="仿宋" w:hAnsi="Times New Roman" w:hint="eastAsia"/>
          <w:color w:val="000000"/>
          <w:sz w:val="32"/>
          <w:highlight w:val="white"/>
        </w:rPr>
        <w:t>、公共安全支出（类）公安（款）执法办案（项），反映公安机关从事行政执法、刑事司法及侦查办案等相关活动的支出。</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22</w:t>
      </w:r>
      <w:r>
        <w:rPr>
          <w:rFonts w:ascii="仿宋" w:eastAsia="仿宋" w:hAnsi="Times New Roman" w:hint="eastAsia"/>
          <w:color w:val="000000"/>
          <w:sz w:val="32"/>
          <w:highlight w:val="white"/>
        </w:rPr>
        <w:t>、公共安全支出（类）公安（款）其他公安支出（项），反映除上述项目以外其他用于公安方面的支出。</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23</w:t>
      </w:r>
      <w:r>
        <w:rPr>
          <w:rFonts w:ascii="仿宋" w:eastAsia="仿宋" w:hAnsi="Times New Roman" w:hint="eastAsia"/>
          <w:color w:val="000000"/>
          <w:sz w:val="32"/>
          <w:highlight w:val="white"/>
        </w:rPr>
        <w:t>．社会保障和就业支出（类）行政事业单位离退休（款）未归口管理的行政单位离退休（项）：指反映未实行归口管理的行政单位（包括实行公务员管理的事业单位）开支的离退休人员支出。</w:t>
      </w:r>
    </w:p>
    <w:p w:rsidR="00D95D3B" w:rsidRDefault="00D95D3B">
      <w:pPr>
        <w:pStyle w:val="a5"/>
        <w:shd w:val="clear" w:color="auto" w:fill="FFFFFF"/>
        <w:spacing w:line="363" w:lineRule="atLeast"/>
        <w:ind w:firstLine="520"/>
        <w:rPr>
          <w:rFonts w:ascii="仿宋" w:eastAsia="仿宋" w:hAnsi="Times New Roman"/>
          <w:color w:val="000000"/>
          <w:sz w:val="32"/>
          <w:highlight w:val="white"/>
        </w:rPr>
      </w:pPr>
      <w:r>
        <w:rPr>
          <w:rFonts w:ascii="仿宋" w:eastAsia="仿宋" w:hAnsi="Times New Roman"/>
          <w:color w:val="000000"/>
          <w:sz w:val="32"/>
          <w:highlight w:val="white"/>
        </w:rPr>
        <w:t>24.</w:t>
      </w:r>
      <w:r>
        <w:rPr>
          <w:rFonts w:ascii="仿宋" w:eastAsia="仿宋" w:hAnsi="Times New Roman" w:hint="eastAsia"/>
          <w:color w:val="000000"/>
          <w:sz w:val="32"/>
          <w:highlight w:val="white"/>
        </w:rPr>
        <w:t>社会保障和就业（类）行政事业单位养老支出（款）机关事业单位基本养老保险缴费支出（项）：指机关事业单位开支的基本养老保险缴费支出。</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25.</w:t>
      </w:r>
      <w:r>
        <w:rPr>
          <w:rFonts w:ascii="仿宋" w:eastAsia="仿宋" w:hAnsi="Times New Roman" w:hint="eastAsia"/>
          <w:color w:val="000000"/>
          <w:sz w:val="32"/>
          <w:highlight w:val="white"/>
        </w:rPr>
        <w:t>社会保障和就业（类）行政事业单位养老支出（款）机关事业单位职业年金缴费支出（项）：指机关事业单位开支的职业年金缴费支出。</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26.</w:t>
      </w:r>
      <w:r>
        <w:rPr>
          <w:rFonts w:ascii="仿宋" w:eastAsia="仿宋" w:hAnsi="Times New Roman" w:hint="eastAsia"/>
          <w:color w:val="000000"/>
          <w:sz w:val="32"/>
          <w:highlight w:val="white"/>
        </w:rPr>
        <w:t>卫生健康支出（类）行政事业单位医疗（款）行政单位医疗（项）：指财政部门集中安排的行政单位基本医疗保险缴费经费，未参加医疗保险的行政单位的公费医疗经费，按国家规定享受离休人员、红军老战士待遇人员的医疗经费。</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lastRenderedPageBreak/>
        <w:t>27.</w:t>
      </w:r>
      <w:r>
        <w:rPr>
          <w:rFonts w:ascii="仿宋" w:eastAsia="仿宋" w:hAnsi="Times New Roman" w:hint="eastAsia"/>
          <w:color w:val="000000"/>
          <w:sz w:val="32"/>
          <w:highlight w:val="white"/>
        </w:rPr>
        <w:t>住房保障支出（类）住房改革支出（款）住房公积金（项）：指行政事业单位按人力资源和社会保障部、财政部规定的基本工资和津贴以及规定比例为职工缴纳的住房公积金。</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28.</w:t>
      </w:r>
      <w:r>
        <w:rPr>
          <w:rFonts w:ascii="仿宋" w:eastAsia="仿宋" w:hAnsi="Times New Roman" w:hint="eastAsia"/>
          <w:color w:val="000000"/>
          <w:sz w:val="32"/>
          <w:highlight w:val="white"/>
        </w:rPr>
        <w:t>其他支出（类）其他政府性基金及对应专项债务收入安排的支出（款）其他政府性基金安排的支出（项）：指其他政府性基金安排的支出（包括用以前年度欠款收入安排的支出）。</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color w:val="000000"/>
          <w:sz w:val="32"/>
          <w:highlight w:val="white"/>
        </w:rPr>
        <w:t>29.</w:t>
      </w:r>
      <w:r>
        <w:rPr>
          <w:rFonts w:ascii="仿宋" w:eastAsia="仿宋" w:hAnsi="Times New Roman" w:hint="eastAsia"/>
          <w:color w:val="000000"/>
          <w:sz w:val="32"/>
          <w:highlight w:val="white"/>
        </w:rPr>
        <w:t>城乡社区支出（类）国有土地使用权出让收入安排的支出（款）城市建设支出（项）：指土地出让收入用于完善国有土地使用功能</w:t>
      </w:r>
    </w:p>
    <w:p w:rsidR="00D95D3B" w:rsidRDefault="00D95D3B">
      <w:pPr>
        <w:pStyle w:val="a5"/>
        <w:shd w:val="clear" w:color="auto" w:fill="FFFFFF"/>
        <w:spacing w:line="363" w:lineRule="atLeast"/>
        <w:ind w:firstLine="484"/>
        <w:rPr>
          <w:rFonts w:ascii="仿宋" w:eastAsia="仿宋" w:hAnsi="Times New Roman"/>
          <w:color w:val="000000"/>
          <w:sz w:val="32"/>
          <w:highlight w:val="white"/>
        </w:rPr>
      </w:pPr>
      <w:r>
        <w:rPr>
          <w:rFonts w:ascii="仿宋" w:eastAsia="仿宋" w:hAnsi="Times New Roman" w:hint="eastAsia"/>
          <w:color w:val="000000"/>
          <w:sz w:val="32"/>
          <w:highlight w:val="white"/>
        </w:rPr>
        <w:t>五、附件</w:t>
      </w:r>
    </w:p>
    <w:p w:rsidR="00D95D3B" w:rsidRDefault="00F17021">
      <w:pPr>
        <w:pStyle w:val="a5"/>
        <w:shd w:val="clear" w:color="auto" w:fill="FFFFFF"/>
        <w:spacing w:line="363" w:lineRule="atLeast"/>
        <w:ind w:firstLine="484"/>
        <w:rPr>
          <w:rFonts w:ascii="黑体" w:eastAsia="黑体" w:hAnsi="Times New Roman"/>
          <w:spacing w:val="15"/>
          <w:sz w:val="44"/>
          <w:highlight w:val="white"/>
        </w:rPr>
      </w:pPr>
      <w:r>
        <w:rPr>
          <w:noProof/>
        </w:rPr>
        <w:drawing>
          <wp:anchor distT="0" distB="0" distL="114300" distR="114300" simplePos="0" relativeHeight="251658240" behindDoc="0" locked="0" layoutInCell="1" allowOverlap="1">
            <wp:simplePos x="0" y="0"/>
            <wp:positionH relativeFrom="column">
              <wp:posOffset>-185420</wp:posOffset>
            </wp:positionH>
            <wp:positionV relativeFrom="page">
              <wp:posOffset>4064000</wp:posOffset>
            </wp:positionV>
            <wp:extent cx="6129020" cy="3987800"/>
            <wp:effectExtent l="0" t="0" r="5080" b="0"/>
            <wp:wrapTopAndBottom/>
            <wp:docPr id="12" name="鍥剧墖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鍥剧墖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9020" cy="3987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D95D3B">
      <w:footerReference w:type="default" r:id="rId1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279" w:rsidRDefault="001D2279">
      <w:pPr>
        <w:autoSpaceDE w:val="0"/>
        <w:autoSpaceDN w:val="0"/>
        <w:adjustRightInd w:val="0"/>
        <w:jc w:val="left"/>
        <w:rPr>
          <w:rFonts w:ascii="Times New Roman" w:hAnsi="Times New Roman"/>
          <w:kern w:val="0"/>
          <w:sz w:val="24"/>
          <w:szCs w:val="24"/>
        </w:rPr>
      </w:pPr>
      <w:r>
        <w:rPr>
          <w:rFonts w:ascii="Times New Roman" w:hAnsi="Times New Roman"/>
          <w:kern w:val="0"/>
          <w:sz w:val="24"/>
          <w:szCs w:val="24"/>
        </w:rPr>
        <w:separator/>
      </w:r>
    </w:p>
  </w:endnote>
  <w:endnote w:type="continuationSeparator" w:id="0">
    <w:p w:rsidR="001D2279" w:rsidRDefault="001D2279">
      <w:pPr>
        <w:autoSpaceDE w:val="0"/>
        <w:autoSpaceDN w:val="0"/>
        <w:adjustRightInd w:val="0"/>
        <w:jc w:val="left"/>
        <w:rPr>
          <w:rFonts w:ascii="Times New Roman" w:hAnsi="Times New Roman"/>
          <w:kern w:val="0"/>
          <w:sz w:val="24"/>
          <w:szCs w:val="24"/>
        </w:rPr>
      </w:pPr>
      <w:r>
        <w:rPr>
          <w:rFonts w:ascii="Times New Roman" w:hAnsi="Times New Roman"/>
          <w:kern w:val="0"/>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宋体">
    <w:altName w:val="汉仪书宋二KW"/>
    <w:panose1 w:val="02010600030101010101"/>
    <w:charset w:val="86"/>
    <w:family w:val="auto"/>
    <w:pitch w:val="variable"/>
    <w:sig w:usb0="00000203" w:usb1="288F0000" w:usb2="00000016" w:usb3="00000000" w:csb0="00040001" w:csb1="00000000"/>
  </w:font>
  <w:font w:name="Calibri">
    <w:altName w:val="Arial"/>
    <w:panose1 w:val="020F0502020204030204"/>
    <w:charset w:val="00"/>
    <w:family w:val="swiss"/>
    <w:pitch w:val="variable"/>
    <w:sig w:usb0="E4002EFF" w:usb1="C200247B" w:usb2="00000009" w:usb3="00000000" w:csb0="000001FF" w:csb1="00000000"/>
  </w:font>
  <w:font w:name="黑体">
    <w:altName w:val="????KW"/>
    <w:panose1 w:val="02010609060101010101"/>
    <w:charset w:val="86"/>
    <w:family w:val="modern"/>
    <w:pitch w:val="fixed"/>
    <w:sig w:usb0="800002BF" w:usb1="38CF7CFA" w:usb2="00000016" w:usb3="00000000" w:csb0="00040001" w:csb1="00000000"/>
  </w:font>
  <w:font w:name="????_GB2312">
    <w:altName w:val="Times New Roman"/>
    <w:panose1 w:val="00000000000000000000"/>
    <w:charset w:val="00"/>
    <w:family w:val="auto"/>
    <w:notTrueType/>
    <w:pitch w:val="default"/>
    <w:sig w:usb0="00000003" w:usb1="00000000" w:usb2="00000000" w:usb3="00000000" w:csb0="00000001" w:csb1="00000000"/>
  </w:font>
  <w:font w:name="??">
    <w:altName w:val="Times New Roman"/>
    <w:panose1 w:val="00000000000000000000"/>
    <w:charset w:val="00"/>
    <w:family w:val="auto"/>
    <w:notTrueType/>
    <w:pitch w:val="default"/>
    <w:sig w:usb0="00000003" w:usb1="00000000" w:usb2="00000000" w:usb3="00000000" w:csb0="00000001" w:csb1="00000000"/>
  </w:font>
  <w:font w:name="楷体">
    <w:altName w:val="????KW"/>
    <w:panose1 w:val="02010609060101010101"/>
    <w:charset w:val="86"/>
    <w:family w:val="modern"/>
    <w:pitch w:val="fixed"/>
    <w:sig w:usb0="800002BF" w:usb1="38CF7CFA" w:usb2="00000016" w:usb3="00000000" w:csb0="00040001" w:csb1="00000000"/>
  </w:font>
  <w:font w:name="仿宋">
    <w:altName w:val="????KW"/>
    <w:panose1 w:val="02010609060101010101"/>
    <w:charset w:val="86"/>
    <w:family w:val="modern"/>
    <w:pitch w:val="fixed"/>
    <w:sig w:usb0="800002BF" w:usb1="38CF7CFA" w:usb2="00000016" w:usb3="00000000" w:csb0="00040001" w:csb1="00000000"/>
  </w:font>
  <w:font w:name="微软雅黑">
    <w:altName w:val="????KW 55S"/>
    <w:panose1 w:val="020B0503020204020204"/>
    <w:charset w:val="86"/>
    <w:family w:val="swiss"/>
    <w:pitch w:val="variable"/>
    <w:sig w:usb0="80000287" w:usb1="2ACF3C50" w:usb2="00000016" w:usb3="00000000" w:csb0="0004001F" w:csb1="00000000"/>
  </w:font>
  <w:font w:name="??_GB2312">
    <w:altName w:val="Consolas"/>
    <w:panose1 w:val="00000000000000000000"/>
    <w:charset w:val="00"/>
    <w:family w:val="moder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D3B" w:rsidRDefault="00D95D3B">
    <w:pPr>
      <w:pStyle w:val="a3"/>
      <w:jc w:val="center"/>
      <w:rPr>
        <w:rFonts w:eastAsia="Times New Roman"/>
      </w:rPr>
    </w:pPr>
    <w:r>
      <w:fldChar w:fldCharType="begin"/>
    </w:r>
    <w:r>
      <w:instrText xml:space="preserve"> PAGE   \* MERGEFORMAT </w:instrText>
    </w:r>
    <w:r>
      <w:fldChar w:fldCharType="separate"/>
    </w:r>
    <w:r w:rsidR="00F17021" w:rsidRPr="00F17021">
      <w:rPr>
        <w:noProof/>
        <w:lang w:val="zh-CN" w:eastAsia="zh-CN"/>
      </w:rPr>
      <w:t>1</w:t>
    </w:r>
    <w:r>
      <w:fldChar w:fldCharType="end"/>
    </w:r>
  </w:p>
  <w:p w:rsidR="00D95D3B" w:rsidRDefault="00D95D3B">
    <w:pPr>
      <w:pStyle w:val="a3"/>
      <w:rPr>
        <w:rFonts w:eastAsia="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279" w:rsidRDefault="001D2279">
      <w:pPr>
        <w:autoSpaceDE w:val="0"/>
        <w:autoSpaceDN w:val="0"/>
        <w:adjustRightInd w:val="0"/>
        <w:jc w:val="left"/>
        <w:rPr>
          <w:rFonts w:ascii="Times New Roman" w:hAnsi="Times New Roman"/>
          <w:kern w:val="0"/>
          <w:sz w:val="24"/>
          <w:szCs w:val="24"/>
        </w:rPr>
      </w:pPr>
      <w:r>
        <w:rPr>
          <w:rFonts w:ascii="Times New Roman" w:hAnsi="Times New Roman"/>
          <w:kern w:val="0"/>
          <w:sz w:val="24"/>
          <w:szCs w:val="24"/>
        </w:rPr>
        <w:t>¥</w:t>
      </w:r>
      <w:r>
        <w:rPr>
          <w:rFonts w:ascii="Times New Roman" w:hAnsi="Times New Roman"/>
          <w:kern w:val="0"/>
          <w:sz w:val="24"/>
          <w:szCs w:val="24"/>
        </w:rPr>
        <w:separator/>
      </w:r>
    </w:p>
  </w:footnote>
  <w:footnote w:type="continuationSeparator" w:id="0">
    <w:p w:rsidR="001D2279" w:rsidRDefault="001D2279">
      <w:pPr>
        <w:autoSpaceDE w:val="0"/>
        <w:autoSpaceDN w:val="0"/>
        <w:adjustRightInd w:val="0"/>
        <w:jc w:val="left"/>
        <w:rPr>
          <w:rFonts w:ascii="Times New Roman" w:hAnsi="Times New Roman"/>
          <w:kern w:val="0"/>
          <w:sz w:val="24"/>
          <w:szCs w:val="24"/>
        </w:rPr>
      </w:pPr>
      <w:r>
        <w:rPr>
          <w:rFonts w:ascii="Times New Roman" w:hAnsi="Times New Roman"/>
          <w:kern w:val="0"/>
          <w:sz w:val="24"/>
          <w:szCs w:val="24"/>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俊堛娿屻庛庯愩斻栵樷涳溿紙蓟路鈥锛锝锟"/>
  <w:noLineBreaksBefore w:lang="ja-JP" w:val="!),.:;?]}€併傘傦冦呫埗夈夛嬨嶃庯忋戙斤曗曘栤楋欌涳滐濃烇篓紒紘紝細紵絸綕繝藝藟路鈥銆锛锝︹"/>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8A4"/>
    <w:rsid w:val="00000000"/>
    <w:rsid w:val="001D2279"/>
    <w:rsid w:val="004E08A4"/>
    <w:rsid w:val="00D95D3B"/>
    <w:rsid w:val="00F170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qFormat="1"/>
    <w:lsdException w:name="toc 5" w:semiHidden="0" w:uiPriority="39" w:unhideWhenUsed="0" w:qFormat="1"/>
    <w:lsdException w:name="toc 6" w:semiHidden="0" w:uiPriority="39" w:unhideWhenUsed="0" w:qFormat="1"/>
    <w:lsdException w:name="toc 7" w:semiHidden="0" w:uiPriority="39" w:unhideWhenUsed="0" w:qFormat="1"/>
    <w:lsdException w:name="toc 8" w:semiHidden="0" w:uiPriority="39" w:unhideWhenUsed="0" w:qFormat="1"/>
    <w:lsdException w:name="toc 9" w:semiHidden="0" w:uiPriority="39" w:unhideWhenUsed="0" w:qFormat="1"/>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0" w:unhideWhenUsed="0" w:qFormat="1"/>
    <w:lsdException w:name="No Spacing" w:semiHidden="0"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Medium Grid 2" w:semiHidden="0" w:uiPriority="68" w:unhideWhenUsed="0" w:qFormat="1"/>
    <w:lsdException w:name="Medium Grid 3" w:semiHidden="0" w:uiPriority="69" w:unhideWhenUsed="0" w:qFormat="1"/>
    <w:lsdException w:name="Dark List" w:semiHidden="0" w:uiPriority="70" w:unhideWhenUsed="0" w:qFormat="1"/>
    <w:lsdException w:name="Colorful Shading" w:semiHidden="0" w:uiPriority="71" w:unhideWhenUsed="0" w:qFormat="1"/>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qFormat="1"/>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qFormat="1"/>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qFormat="1"/>
    <w:lsdException w:name="Medium Grid 1 Accent 1" w:semiHidden="0" w:uiPriority="67" w:unhideWhenUsed="0" w:qFormat="1"/>
    <w:lsdException w:name="Medium Grid 2 Accent 1" w:semiHidden="0" w:uiPriority="68" w:unhideWhenUsed="0" w:qFormat="1"/>
    <w:lsdException w:name="Medium Grid 3 Accent 1" w:semiHidden="0" w:uiPriority="69" w:unhideWhenUsed="0" w:qFormat="1"/>
    <w:lsdException w:name="Dark List Accent 1" w:semiHidden="0" w:uiPriority="70" w:unhideWhenUsed="0" w:qFormat="1"/>
    <w:lsdException w:name="Colorful Shading Accent 1" w:semiHidden="0" w:uiPriority="71" w:unhideWhenUsed="0" w:qFormat="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qFormat="1"/>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qFormat="1"/>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qFormat="1"/>
    <w:lsdException w:name="Dark List Accent 2" w:semiHidden="0" w:uiPriority="70" w:unhideWhenUsed="0" w:qFormat="1"/>
    <w:lsdException w:name="Colorful Shading Accent 2" w:semiHidden="0" w:uiPriority="71" w:unhideWhenUsed="0" w:qFormat="1"/>
    <w:lsdException w:name="Colorful List Accent 2" w:semiHidden="0" w:uiPriority="72" w:unhideWhenUsed="0" w:qFormat="1"/>
    <w:lsdException w:name="Colorful Grid Accent 2" w:semiHidden="0" w:uiPriority="73" w:unhideWhenUsed="0" w:qFormat="1"/>
    <w:lsdException w:name="Light Shading Accent 3" w:semiHidden="0" w:uiPriority="60" w:unhideWhenUsed="0" w:qFormat="1"/>
    <w:lsdException w:name="Light List Accent 3" w:semiHidden="0" w:uiPriority="61" w:unhideWhenUsed="0" w:qFormat="1"/>
    <w:lsdException w:name="Light Grid Accent 3" w:semiHidden="0" w:uiPriority="62" w:unhideWhenUsed="0" w:qFormat="1"/>
    <w:lsdException w:name="Medium Shading 1 Accent 3" w:semiHidden="0" w:uiPriority="63" w:unhideWhenUsed="0" w:qFormat="1"/>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qFormat="1"/>
    <w:lsdException w:name="Medium Grid 1 Accent 3" w:semiHidden="0" w:uiPriority="67" w:unhideWhenUsed="0" w:qFormat="1"/>
    <w:lsdException w:name="Medium Grid 2 Accent 3" w:semiHidden="0" w:uiPriority="68" w:unhideWhenUsed="0" w:qFormat="1"/>
    <w:lsdException w:name="Medium Grid 3 Accent 3" w:semiHidden="0" w:uiPriority="69" w:unhideWhenUsed="0" w:qFormat="1"/>
    <w:lsdException w:name="Dark List Accent 3" w:semiHidden="0" w:uiPriority="70" w:unhideWhenUsed="0" w:qFormat="1"/>
    <w:lsdException w:name="Colorful Shading Accent 3" w:semiHidden="0" w:uiPriority="71" w:unhideWhenUsed="0" w:qFormat="1"/>
    <w:lsdException w:name="Colorful List Accent 3" w:semiHidden="0" w:uiPriority="72" w:unhideWhenUsed="0" w:qFormat="1"/>
    <w:lsdException w:name="Colorful Grid Accent 3" w:semiHidden="0" w:uiPriority="73" w:unhideWhenUsed="0" w:qFormat="1"/>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qFormat="1"/>
    <w:lsdException w:name="Medium List 2 Accent 4" w:semiHidden="0" w:uiPriority="66" w:unhideWhenUsed="0" w:qFormat="1"/>
    <w:lsdException w:name="Medium Grid 1 Accent 4" w:semiHidden="0" w:uiPriority="67" w:unhideWhenUsed="0" w:qFormat="1"/>
    <w:lsdException w:name="Medium Grid 2 Accent 4" w:semiHidden="0" w:uiPriority="68" w:unhideWhenUsed="0" w:qFormat="1"/>
    <w:lsdException w:name="Medium Grid 3 Accent 4" w:semiHidden="0" w:uiPriority="69" w:unhideWhenUsed="0" w:qFormat="1"/>
    <w:lsdException w:name="Dark List Accent 4" w:semiHidden="0" w:uiPriority="70" w:unhideWhenUsed="0" w:qFormat="1"/>
    <w:lsdException w:name="Colorful Shading Accent 4" w:semiHidden="0" w:uiPriority="71" w:unhideWhenUsed="0" w:qFormat="1"/>
    <w:lsdException w:name="Colorful List Accent 4" w:semiHidden="0" w:uiPriority="72" w:unhideWhenUsed="0" w:qFormat="1"/>
    <w:lsdException w:name="Colorful Grid Accent 4" w:semiHidden="0" w:uiPriority="73" w:unhideWhenUsed="0" w:qFormat="1"/>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qFormat="1"/>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qFormat="1"/>
    <w:lsdException w:name="Colorful Shading Accent 5" w:semiHidden="0" w:uiPriority="71" w:unhideWhenUsed="0" w:qFormat="1"/>
    <w:lsdException w:name="Colorful List Accent 5" w:semiHidden="0" w:uiPriority="72" w:unhideWhenUsed="0" w:qFormat="1"/>
    <w:lsdException w:name="Colorful Grid Accent 5" w:semiHidden="0" w:uiPriority="73" w:unhideWhenUsed="0" w:qFormat="1"/>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qFormat="1"/>
    <w:lsdException w:name="Colorful Shading Accent 6" w:semiHidden="0" w:uiPriority="71" w:unhideWhenUsed="0" w:qFormat="1"/>
    <w:lsdException w:name="Colorful List Accent 6" w:semiHidden="0" w:uiPriority="72" w:unhideWhenUsed="0" w:qFormat="1"/>
    <w:lsdException w:name="Colorful Grid Accent 6" w:semiHidden="0" w:uiPriority="73"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2">
    <w:name w:val="页脚 Char2"/>
    <w:basedOn w:val="a0"/>
    <w:link w:val="a3"/>
    <w:uiPriority w:val="99"/>
    <w:unhideWhenUsed/>
    <w:locked/>
    <w:rPr>
      <w:rFonts w:ascii="Calibri" w:cs="Times New Roman"/>
      <w:sz w:val="18"/>
    </w:rPr>
  </w:style>
  <w:style w:type="paragraph" w:styleId="a4">
    <w:name w:val="header"/>
    <w:basedOn w:val="a"/>
    <w:link w:val="Char20"/>
    <w:uiPriority w:val="99"/>
    <w:unhideWhenUsed/>
    <w:pPr>
      <w:pBdr>
        <w:bottom w:val="single" w:sz="6" w:space="1" w:color="auto"/>
      </w:pBdr>
      <w:tabs>
        <w:tab w:val="center" w:pos="4153"/>
        <w:tab w:val="right" w:pos="8306"/>
      </w:tabs>
      <w:snapToGrid w:val="0"/>
      <w:jc w:val="center"/>
    </w:pPr>
    <w:rPr>
      <w:sz w:val="18"/>
      <w:szCs w:val="24"/>
    </w:rPr>
  </w:style>
  <w:style w:type="character" w:customStyle="1" w:styleId="Char20">
    <w:name w:val="页眉 Char2"/>
    <w:basedOn w:val="a0"/>
    <w:link w:val="a4"/>
    <w:uiPriority w:val="99"/>
    <w:unhideWhenUsed/>
    <w:locked/>
    <w:rPr>
      <w:rFonts w:ascii="Calibri" w:cs="Times New Roman"/>
      <w:sz w:val="18"/>
    </w:rPr>
  </w:style>
  <w:style w:type="paragraph" w:styleId="a5">
    <w:name w:val="Normal (Web)"/>
    <w:basedOn w:val="a"/>
    <w:uiPriority w:val="99"/>
    <w:unhideWhenUsed/>
    <w:pPr>
      <w:widowControl/>
      <w:spacing w:before="100" w:beforeAutospacing="1" w:after="100" w:afterAutospacing="1"/>
      <w:jc w:val="left"/>
    </w:pPr>
    <w:rPr>
      <w:rFonts w:ascii="宋体" w:hAnsi="宋体"/>
      <w:sz w:val="24"/>
      <w:szCs w:val="24"/>
    </w:rPr>
  </w:style>
  <w:style w:type="paragraph" w:styleId="a3">
    <w:name w:val="footer"/>
    <w:basedOn w:val="a"/>
    <w:link w:val="Char2"/>
    <w:uiPriority w:val="99"/>
    <w:unhideWhenUsed/>
    <w:pPr>
      <w:tabs>
        <w:tab w:val="center" w:pos="4153"/>
        <w:tab w:val="right" w:pos="8306"/>
      </w:tabs>
      <w:snapToGrid w:val="0"/>
      <w:jc w:val="left"/>
    </w:pPr>
    <w:rPr>
      <w:sz w:val="18"/>
      <w:szCs w:val="24"/>
    </w:rPr>
  </w:style>
  <w:style w:type="character" w:customStyle="1" w:styleId="Char">
    <w:name w:val="页脚 Char"/>
    <w:basedOn w:val="a0"/>
    <w:uiPriority w:val="99"/>
    <w:semiHidden/>
    <w:rPr>
      <w:rFonts w:ascii="Calibri" w:hAnsi="Calibri"/>
      <w:sz w:val="18"/>
      <w:szCs w:val="18"/>
    </w:rPr>
  </w:style>
  <w:style w:type="character" w:customStyle="1" w:styleId="Char1">
    <w:name w:val="页脚 Char1"/>
    <w:basedOn w:val="a0"/>
    <w:uiPriority w:val="99"/>
    <w:semiHidden/>
    <w:locked/>
    <w:rPr>
      <w:rFonts w:ascii="Calibri" w:hAnsi="Calibri" w:cs="Times New Roman"/>
      <w:sz w:val="18"/>
      <w:szCs w:val="18"/>
    </w:rPr>
  </w:style>
  <w:style w:type="character" w:customStyle="1" w:styleId="Char0">
    <w:name w:val="页眉 Char"/>
    <w:basedOn w:val="a0"/>
    <w:uiPriority w:val="99"/>
    <w:semiHidden/>
    <w:rPr>
      <w:rFonts w:ascii="Calibri" w:hAnsi="Calibri"/>
      <w:sz w:val="18"/>
      <w:szCs w:val="18"/>
    </w:rPr>
  </w:style>
  <w:style w:type="character" w:customStyle="1" w:styleId="Char10">
    <w:name w:val="页眉 Char1"/>
    <w:basedOn w:val="a0"/>
    <w:uiPriority w:val="99"/>
    <w:semiHidden/>
    <w:locked/>
    <w:rPr>
      <w:rFonts w:ascii="Calibri"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qFormat="1"/>
    <w:lsdException w:name="toc 5" w:semiHidden="0" w:uiPriority="39" w:unhideWhenUsed="0" w:qFormat="1"/>
    <w:lsdException w:name="toc 6" w:semiHidden="0" w:uiPriority="39" w:unhideWhenUsed="0" w:qFormat="1"/>
    <w:lsdException w:name="toc 7" w:semiHidden="0" w:uiPriority="39" w:unhideWhenUsed="0" w:qFormat="1"/>
    <w:lsdException w:name="toc 8" w:semiHidden="0" w:uiPriority="39" w:unhideWhenUsed="0" w:qFormat="1"/>
    <w:lsdException w:name="toc 9" w:semiHidden="0" w:uiPriority="39" w:unhideWhenUsed="0" w:qFormat="1"/>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0" w:unhideWhenUsed="0" w:qFormat="1"/>
    <w:lsdException w:name="No Spacing" w:semiHidden="0" w:unhideWhenUsed="0" w:qFormat="1"/>
    <w:lsdException w:name="Light Shading" w:semiHidden="0" w:uiPriority="60" w:unhideWhenUsed="0" w:qFormat="1"/>
    <w:lsdException w:name="Light List" w:semiHidden="0" w:uiPriority="61" w:unhideWhenUsed="0" w:qFormat="1"/>
    <w:lsdException w:name="Light Grid" w:semiHidden="0" w:uiPriority="62" w:unhideWhenUsed="0" w:qFormat="1"/>
    <w:lsdException w:name="Medium Shading 1" w:semiHidden="0" w:uiPriority="63" w:unhideWhenUsed="0" w:qFormat="1"/>
    <w:lsdException w:name="Medium Shading 2" w:semiHidden="0" w:uiPriority="64"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Medium Grid 2" w:semiHidden="0" w:uiPriority="68" w:unhideWhenUsed="0" w:qFormat="1"/>
    <w:lsdException w:name="Medium Grid 3" w:semiHidden="0" w:uiPriority="69" w:unhideWhenUsed="0" w:qFormat="1"/>
    <w:lsdException w:name="Dark List" w:semiHidden="0" w:uiPriority="70" w:unhideWhenUsed="0" w:qFormat="1"/>
    <w:lsdException w:name="Colorful Shading" w:semiHidden="0" w:uiPriority="71" w:unhideWhenUsed="0" w:qFormat="1"/>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qFormat="1"/>
    <w:lsdException w:name="Light Grid Accent 1" w:semiHidden="0" w:uiPriority="62" w:unhideWhenUsed="0" w:qFormat="1"/>
    <w:lsdException w:name="Medium Shading 1 Accent 1" w:semiHidden="0" w:uiPriority="63" w:unhideWhenUsed="0" w:qFormat="1"/>
    <w:lsdException w:name="Medium Shading 2 Accent 1" w:semiHidden="0" w:uiPriority="64" w:unhideWhenUsed="0" w:qFormat="1"/>
    <w:lsdException w:name="Medium List 1 Accent 1" w:semiHidden="0" w:uiPriority="65" w:unhideWhenUsed="0" w:qFormat="1"/>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qFormat="1"/>
    <w:lsdException w:name="Medium Grid 1 Accent 1" w:semiHidden="0" w:uiPriority="67" w:unhideWhenUsed="0" w:qFormat="1"/>
    <w:lsdException w:name="Medium Grid 2 Accent 1" w:semiHidden="0" w:uiPriority="68" w:unhideWhenUsed="0" w:qFormat="1"/>
    <w:lsdException w:name="Medium Grid 3 Accent 1" w:semiHidden="0" w:uiPriority="69" w:unhideWhenUsed="0" w:qFormat="1"/>
    <w:lsdException w:name="Dark List Accent 1" w:semiHidden="0" w:uiPriority="70" w:unhideWhenUsed="0" w:qFormat="1"/>
    <w:lsdException w:name="Colorful Shading Accent 1" w:semiHidden="0" w:uiPriority="71" w:unhideWhenUsed="0" w:qFormat="1"/>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qFormat="1"/>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qFormat="1"/>
    <w:lsdException w:name="Medium List 1 Accent 2" w:semiHidden="0" w:uiPriority="65" w:unhideWhenUsed="0" w:qFormat="1"/>
    <w:lsdException w:name="Medium List 2 Accent 2" w:semiHidden="0" w:uiPriority="66" w:unhideWhenUsed="0" w:qFormat="1"/>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qFormat="1"/>
    <w:lsdException w:name="Dark List Accent 2" w:semiHidden="0" w:uiPriority="70" w:unhideWhenUsed="0" w:qFormat="1"/>
    <w:lsdException w:name="Colorful Shading Accent 2" w:semiHidden="0" w:uiPriority="71" w:unhideWhenUsed="0" w:qFormat="1"/>
    <w:lsdException w:name="Colorful List Accent 2" w:semiHidden="0" w:uiPriority="72" w:unhideWhenUsed="0" w:qFormat="1"/>
    <w:lsdException w:name="Colorful Grid Accent 2" w:semiHidden="0" w:uiPriority="73" w:unhideWhenUsed="0" w:qFormat="1"/>
    <w:lsdException w:name="Light Shading Accent 3" w:semiHidden="0" w:uiPriority="60" w:unhideWhenUsed="0" w:qFormat="1"/>
    <w:lsdException w:name="Light List Accent 3" w:semiHidden="0" w:uiPriority="61" w:unhideWhenUsed="0" w:qFormat="1"/>
    <w:lsdException w:name="Light Grid Accent 3" w:semiHidden="0" w:uiPriority="62" w:unhideWhenUsed="0" w:qFormat="1"/>
    <w:lsdException w:name="Medium Shading 1 Accent 3" w:semiHidden="0" w:uiPriority="63" w:unhideWhenUsed="0" w:qFormat="1"/>
    <w:lsdException w:name="Medium Shading 2 Accent 3" w:semiHidden="0" w:uiPriority="64" w:unhideWhenUsed="0" w:qFormat="1"/>
    <w:lsdException w:name="Medium List 1 Accent 3" w:semiHidden="0" w:uiPriority="65" w:unhideWhenUsed="0" w:qFormat="1"/>
    <w:lsdException w:name="Medium List 2 Accent 3" w:semiHidden="0" w:uiPriority="66" w:unhideWhenUsed="0" w:qFormat="1"/>
    <w:lsdException w:name="Medium Grid 1 Accent 3" w:semiHidden="0" w:uiPriority="67" w:unhideWhenUsed="0" w:qFormat="1"/>
    <w:lsdException w:name="Medium Grid 2 Accent 3" w:semiHidden="0" w:uiPriority="68" w:unhideWhenUsed="0" w:qFormat="1"/>
    <w:lsdException w:name="Medium Grid 3 Accent 3" w:semiHidden="0" w:uiPriority="69" w:unhideWhenUsed="0" w:qFormat="1"/>
    <w:lsdException w:name="Dark List Accent 3" w:semiHidden="0" w:uiPriority="70" w:unhideWhenUsed="0" w:qFormat="1"/>
    <w:lsdException w:name="Colorful Shading Accent 3" w:semiHidden="0" w:uiPriority="71" w:unhideWhenUsed="0" w:qFormat="1"/>
    <w:lsdException w:name="Colorful List Accent 3" w:semiHidden="0" w:uiPriority="72" w:unhideWhenUsed="0" w:qFormat="1"/>
    <w:lsdException w:name="Colorful Grid Accent 3" w:semiHidden="0" w:uiPriority="73" w:unhideWhenUsed="0" w:qFormat="1"/>
    <w:lsdException w:name="Light Shading Accent 4" w:semiHidden="0" w:uiPriority="60" w:unhideWhenUsed="0" w:qFormat="1"/>
    <w:lsdException w:name="Light List Accent 4" w:semiHidden="0" w:uiPriority="61" w:unhideWhenUsed="0" w:qFormat="1"/>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qFormat="1"/>
    <w:lsdException w:name="Medium List 2 Accent 4" w:semiHidden="0" w:uiPriority="66" w:unhideWhenUsed="0" w:qFormat="1"/>
    <w:lsdException w:name="Medium Grid 1 Accent 4" w:semiHidden="0" w:uiPriority="67" w:unhideWhenUsed="0" w:qFormat="1"/>
    <w:lsdException w:name="Medium Grid 2 Accent 4" w:semiHidden="0" w:uiPriority="68" w:unhideWhenUsed="0" w:qFormat="1"/>
    <w:lsdException w:name="Medium Grid 3 Accent 4" w:semiHidden="0" w:uiPriority="69" w:unhideWhenUsed="0" w:qFormat="1"/>
    <w:lsdException w:name="Dark List Accent 4" w:semiHidden="0" w:uiPriority="70" w:unhideWhenUsed="0" w:qFormat="1"/>
    <w:lsdException w:name="Colorful Shading Accent 4" w:semiHidden="0" w:uiPriority="71" w:unhideWhenUsed="0" w:qFormat="1"/>
    <w:lsdException w:name="Colorful List Accent 4" w:semiHidden="0" w:uiPriority="72" w:unhideWhenUsed="0" w:qFormat="1"/>
    <w:lsdException w:name="Colorful Grid Accent 4" w:semiHidden="0" w:uiPriority="73" w:unhideWhenUsed="0" w:qFormat="1"/>
    <w:lsdException w:name="Light Shading Accent 5" w:semiHidden="0" w:uiPriority="60" w:unhideWhenUsed="0" w:qFormat="1"/>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qFormat="1"/>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qFormat="1"/>
    <w:lsdException w:name="Colorful Shading Accent 5" w:semiHidden="0" w:uiPriority="71" w:unhideWhenUsed="0" w:qFormat="1"/>
    <w:lsdException w:name="Colorful List Accent 5" w:semiHidden="0" w:uiPriority="72" w:unhideWhenUsed="0" w:qFormat="1"/>
    <w:lsdException w:name="Colorful Grid Accent 5" w:semiHidden="0" w:uiPriority="73" w:unhideWhenUsed="0" w:qFormat="1"/>
    <w:lsdException w:name="Light Shading Accent 6" w:semiHidden="0" w:uiPriority="60" w:unhideWhenUsed="0" w:qFormat="1"/>
    <w:lsdException w:name="Light List Accent 6" w:semiHidden="0" w:uiPriority="61" w:unhideWhenUsed="0" w:qFormat="1"/>
    <w:lsdException w:name="Light Grid Accent 6" w:semiHidden="0" w:uiPriority="62" w:unhideWhenUsed="0" w:qFormat="1"/>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qFormat="1"/>
    <w:lsdException w:name="Colorful Shading Accent 6" w:semiHidden="0" w:uiPriority="71" w:unhideWhenUsed="0" w:qFormat="1"/>
    <w:lsdException w:name="Colorful List Accent 6" w:semiHidden="0" w:uiPriority="72" w:unhideWhenUsed="0" w:qFormat="1"/>
    <w:lsdException w:name="Colorful Grid Accent 6" w:semiHidden="0" w:uiPriority="73"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2">
    <w:name w:val="页脚 Char2"/>
    <w:basedOn w:val="a0"/>
    <w:link w:val="a3"/>
    <w:uiPriority w:val="99"/>
    <w:unhideWhenUsed/>
    <w:locked/>
    <w:rPr>
      <w:rFonts w:ascii="Calibri" w:cs="Times New Roman"/>
      <w:sz w:val="18"/>
    </w:rPr>
  </w:style>
  <w:style w:type="paragraph" w:styleId="a4">
    <w:name w:val="header"/>
    <w:basedOn w:val="a"/>
    <w:link w:val="Char20"/>
    <w:uiPriority w:val="99"/>
    <w:unhideWhenUsed/>
    <w:pPr>
      <w:pBdr>
        <w:bottom w:val="single" w:sz="6" w:space="1" w:color="auto"/>
      </w:pBdr>
      <w:tabs>
        <w:tab w:val="center" w:pos="4153"/>
        <w:tab w:val="right" w:pos="8306"/>
      </w:tabs>
      <w:snapToGrid w:val="0"/>
      <w:jc w:val="center"/>
    </w:pPr>
    <w:rPr>
      <w:sz w:val="18"/>
      <w:szCs w:val="24"/>
    </w:rPr>
  </w:style>
  <w:style w:type="character" w:customStyle="1" w:styleId="Char20">
    <w:name w:val="页眉 Char2"/>
    <w:basedOn w:val="a0"/>
    <w:link w:val="a4"/>
    <w:uiPriority w:val="99"/>
    <w:unhideWhenUsed/>
    <w:locked/>
    <w:rPr>
      <w:rFonts w:ascii="Calibri" w:cs="Times New Roman"/>
      <w:sz w:val="18"/>
    </w:rPr>
  </w:style>
  <w:style w:type="paragraph" w:styleId="a5">
    <w:name w:val="Normal (Web)"/>
    <w:basedOn w:val="a"/>
    <w:uiPriority w:val="99"/>
    <w:unhideWhenUsed/>
    <w:pPr>
      <w:widowControl/>
      <w:spacing w:before="100" w:beforeAutospacing="1" w:after="100" w:afterAutospacing="1"/>
      <w:jc w:val="left"/>
    </w:pPr>
    <w:rPr>
      <w:rFonts w:ascii="宋体" w:hAnsi="宋体"/>
      <w:sz w:val="24"/>
      <w:szCs w:val="24"/>
    </w:rPr>
  </w:style>
  <w:style w:type="paragraph" w:styleId="a3">
    <w:name w:val="footer"/>
    <w:basedOn w:val="a"/>
    <w:link w:val="Char2"/>
    <w:uiPriority w:val="99"/>
    <w:unhideWhenUsed/>
    <w:pPr>
      <w:tabs>
        <w:tab w:val="center" w:pos="4153"/>
        <w:tab w:val="right" w:pos="8306"/>
      </w:tabs>
      <w:snapToGrid w:val="0"/>
      <w:jc w:val="left"/>
    </w:pPr>
    <w:rPr>
      <w:sz w:val="18"/>
      <w:szCs w:val="24"/>
    </w:rPr>
  </w:style>
  <w:style w:type="character" w:customStyle="1" w:styleId="Char">
    <w:name w:val="页脚 Char"/>
    <w:basedOn w:val="a0"/>
    <w:uiPriority w:val="99"/>
    <w:semiHidden/>
    <w:rPr>
      <w:rFonts w:ascii="Calibri" w:hAnsi="Calibri"/>
      <w:sz w:val="18"/>
      <w:szCs w:val="18"/>
    </w:rPr>
  </w:style>
  <w:style w:type="character" w:customStyle="1" w:styleId="Char1">
    <w:name w:val="页脚 Char1"/>
    <w:basedOn w:val="a0"/>
    <w:uiPriority w:val="99"/>
    <w:semiHidden/>
    <w:locked/>
    <w:rPr>
      <w:rFonts w:ascii="Calibri" w:hAnsi="Calibri" w:cs="Times New Roman"/>
      <w:sz w:val="18"/>
      <w:szCs w:val="18"/>
    </w:rPr>
  </w:style>
  <w:style w:type="character" w:customStyle="1" w:styleId="Char0">
    <w:name w:val="页眉 Char"/>
    <w:basedOn w:val="a0"/>
    <w:uiPriority w:val="99"/>
    <w:semiHidden/>
    <w:rPr>
      <w:rFonts w:ascii="Calibri" w:hAnsi="Calibri"/>
      <w:sz w:val="18"/>
      <w:szCs w:val="18"/>
    </w:rPr>
  </w:style>
  <w:style w:type="character" w:customStyle="1" w:styleId="Char10">
    <w:name w:val="页眉 Char1"/>
    <w:basedOn w:val="a0"/>
    <w:uiPriority w:val="99"/>
    <w:semiHidden/>
    <w:locked/>
    <w:rPr>
      <w:rFonts w:ascii="Calibri"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1981</Words>
  <Characters>11297</Characters>
  <Application>Microsoft Office Word</Application>
  <DocSecurity>0</DocSecurity>
  <Lines>94</Lines>
  <Paragraphs>26</Paragraphs>
  <ScaleCrop>false</ScaleCrop>
  <Company/>
  <LinksUpToDate>false</LinksUpToDate>
  <CharactersWithSpaces>13252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麻兆宇</dc:creator>
  <cp:lastModifiedBy>麻兆宇</cp:lastModifiedBy>
  <cp:revision>2</cp:revision>
  <dcterms:created xsi:type="dcterms:W3CDTF">2023-09-25T03:39:00Z</dcterms:created>
  <dcterms:modified xsi:type="dcterms:W3CDTF">2023-09-25T03:39:00Z</dcterms:modified>
</cp:coreProperties>
</file>